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0E0E2" w:themeColor="text2" w:themeTint="33"/>
  <w:body>
    <w:p w:rsidR="003D64C1" w:rsidRDefault="003D64C1"/>
    <w:p w:rsidR="00FF7725" w:rsidRPr="00531F4F" w:rsidRDefault="00FF7725" w:rsidP="008A6F35">
      <w:pPr>
        <w:spacing w:after="0"/>
        <w:jc w:val="center"/>
        <w:rPr>
          <w:rFonts w:ascii="Bell MT" w:hAnsi="Bell MT" w:cstheme="majorBidi"/>
          <w:b/>
          <w:sz w:val="40"/>
          <w:szCs w:val="32"/>
        </w:rPr>
      </w:pPr>
      <w:r w:rsidRPr="00531F4F">
        <w:rPr>
          <w:rFonts w:ascii="Bell MT" w:hAnsi="Bell MT" w:cstheme="majorBidi"/>
          <w:b/>
          <w:sz w:val="40"/>
          <w:szCs w:val="32"/>
        </w:rPr>
        <w:t xml:space="preserve">TOPICS FOR RESEARCH (MID TERM </w:t>
      </w:r>
      <w:r w:rsidR="008A6F35">
        <w:rPr>
          <w:rFonts w:ascii="Bell MT" w:hAnsi="Bell MT" w:cstheme="majorBidi"/>
          <w:b/>
          <w:sz w:val="40"/>
          <w:szCs w:val="32"/>
        </w:rPr>
        <w:t>PAPERS</w:t>
      </w:r>
      <w:r w:rsidRPr="00531F4F">
        <w:rPr>
          <w:rFonts w:ascii="Bell MT" w:hAnsi="Bell MT" w:cstheme="majorBidi"/>
          <w:b/>
          <w:sz w:val="40"/>
          <w:szCs w:val="32"/>
        </w:rPr>
        <w:t>)</w:t>
      </w:r>
    </w:p>
    <w:p w:rsidR="008A6F35" w:rsidRPr="008A6F35" w:rsidRDefault="00FF7725" w:rsidP="008A6F3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5741AB">
        <w:rPr>
          <w:rFonts w:asciiTheme="majorBidi" w:hAnsiTheme="majorBidi" w:cstheme="majorBidi"/>
          <w:b/>
          <w:sz w:val="28"/>
          <w:szCs w:val="28"/>
        </w:rPr>
        <w:t>Islamic studies</w:t>
      </w:r>
      <w:r w:rsidR="008A6F3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A3210B">
        <w:rPr>
          <w:rFonts w:asciiTheme="majorBidi" w:hAnsiTheme="majorBidi" w:cstheme="majorBidi"/>
          <w:b/>
          <w:sz w:val="24"/>
          <w:szCs w:val="24"/>
        </w:rPr>
        <w:t xml:space="preserve">B.S </w:t>
      </w:r>
      <w:r w:rsidR="008A6F35">
        <w:rPr>
          <w:rFonts w:asciiTheme="majorBidi" w:hAnsiTheme="majorBidi" w:cstheme="majorBidi"/>
          <w:b/>
          <w:sz w:val="24"/>
          <w:szCs w:val="24"/>
        </w:rPr>
        <w:t>8</w:t>
      </w:r>
      <w:r w:rsidR="008A6F35" w:rsidRPr="008A6F35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</w:p>
    <w:p w:rsidR="00FF7725" w:rsidRPr="00463043" w:rsidRDefault="00FF7725" w:rsidP="008A6F3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3043">
        <w:rPr>
          <w:rFonts w:asciiTheme="majorBidi" w:hAnsiTheme="majorBidi" w:cstheme="majorBidi"/>
          <w:b/>
          <w:sz w:val="24"/>
          <w:szCs w:val="24"/>
        </w:rPr>
        <w:t>Session 20</w:t>
      </w:r>
      <w:r w:rsidR="00A3210B">
        <w:rPr>
          <w:rFonts w:asciiTheme="majorBidi" w:hAnsiTheme="majorBidi" w:cstheme="majorBidi"/>
          <w:b/>
          <w:sz w:val="24"/>
          <w:szCs w:val="24"/>
        </w:rPr>
        <w:t>16</w:t>
      </w:r>
      <w:r w:rsidRPr="00463043">
        <w:rPr>
          <w:rFonts w:asciiTheme="majorBidi" w:hAnsiTheme="majorBidi" w:cstheme="majorBidi"/>
          <w:b/>
          <w:sz w:val="24"/>
          <w:szCs w:val="24"/>
        </w:rPr>
        <w:t>-2</w:t>
      </w:r>
      <w:r w:rsidR="00A3210B">
        <w:rPr>
          <w:rFonts w:asciiTheme="majorBidi" w:hAnsiTheme="majorBidi" w:cstheme="majorBidi"/>
          <w:b/>
          <w:sz w:val="24"/>
          <w:szCs w:val="24"/>
        </w:rPr>
        <w:t>0</w:t>
      </w:r>
    </w:p>
    <w:p w:rsidR="00FF7725" w:rsidRDefault="00BA0413" w:rsidP="008A6F35">
      <w:pPr>
        <w:spacing w:after="0"/>
        <w:jc w:val="center"/>
        <w:rPr>
          <w:rFonts w:asciiTheme="majorBidi" w:hAnsiTheme="majorBidi" w:cstheme="majorBidi"/>
          <w:b/>
          <w:sz w:val="32"/>
          <w:szCs w:val="24"/>
        </w:rPr>
      </w:pPr>
      <w:r>
        <w:rPr>
          <w:rFonts w:asciiTheme="majorBidi" w:hAnsiTheme="majorBidi" w:cstheme="majorBidi"/>
          <w:b/>
          <w:sz w:val="32"/>
          <w:szCs w:val="24"/>
        </w:rPr>
        <w:t xml:space="preserve">Dr. Muhammad Feroz </w:t>
      </w:r>
      <w:r w:rsidR="008A6F35">
        <w:rPr>
          <w:rFonts w:asciiTheme="majorBidi" w:hAnsiTheme="majorBidi" w:cstheme="majorBidi"/>
          <w:b/>
          <w:sz w:val="32"/>
          <w:szCs w:val="24"/>
        </w:rPr>
        <w:t>ud Din S</w:t>
      </w:r>
      <w:r>
        <w:rPr>
          <w:rFonts w:asciiTheme="majorBidi" w:hAnsiTheme="majorBidi" w:cstheme="majorBidi"/>
          <w:b/>
          <w:sz w:val="32"/>
          <w:szCs w:val="24"/>
        </w:rPr>
        <w:t>hah</w:t>
      </w:r>
    </w:p>
    <w:tbl>
      <w:tblPr>
        <w:tblStyle w:val="TableGrid"/>
        <w:tblpPr w:leftFromText="180" w:rightFromText="180" w:vertAnchor="page" w:horzAnchor="margin" w:tblpXSpec="center" w:tblpY="4238"/>
        <w:tblW w:w="10124" w:type="dxa"/>
        <w:tblLayout w:type="fixed"/>
        <w:tblLook w:val="04A0" w:firstRow="1" w:lastRow="0" w:firstColumn="1" w:lastColumn="0" w:noHBand="0" w:noVBand="1"/>
      </w:tblPr>
      <w:tblGrid>
        <w:gridCol w:w="1099"/>
        <w:gridCol w:w="2789"/>
        <w:gridCol w:w="4371"/>
        <w:gridCol w:w="1865"/>
      </w:tblGrid>
      <w:tr w:rsidR="00531F4F" w:rsidTr="00850CA3">
        <w:trPr>
          <w:trHeight w:val="283"/>
        </w:trPr>
        <w:tc>
          <w:tcPr>
            <w:tcW w:w="1099" w:type="dxa"/>
            <w:shd w:val="clear" w:color="auto" w:fill="E1D4A3" w:themeFill="accent1" w:themeFillTint="99"/>
          </w:tcPr>
          <w:p w:rsidR="00531F4F" w:rsidRPr="00740C4E" w:rsidRDefault="00531F4F" w:rsidP="00531F4F">
            <w:pPr>
              <w:jc w:val="center"/>
              <w:rPr>
                <w:b/>
                <w:bCs/>
              </w:rPr>
            </w:pPr>
            <w:r w:rsidRPr="00740C4E">
              <w:rPr>
                <w:b/>
                <w:bCs/>
              </w:rPr>
              <w:t>Roll No</w:t>
            </w:r>
          </w:p>
        </w:tc>
        <w:tc>
          <w:tcPr>
            <w:tcW w:w="2789" w:type="dxa"/>
            <w:shd w:val="clear" w:color="auto" w:fill="E1D4A3" w:themeFill="accent1" w:themeFillTint="99"/>
          </w:tcPr>
          <w:p w:rsidR="00531F4F" w:rsidRPr="00740C4E" w:rsidRDefault="00850CA3" w:rsidP="00531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E1D4A3" w:themeFill="accent1" w:themeFillTint="99"/>
          </w:tcPr>
          <w:p w:rsidR="00531F4F" w:rsidRPr="00740C4E" w:rsidRDefault="00850CA3" w:rsidP="00531F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Topics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E1D4A3" w:themeFill="accent1" w:themeFillTint="99"/>
          </w:tcPr>
          <w:p w:rsidR="00531F4F" w:rsidRPr="00740C4E" w:rsidRDefault="00531F4F" w:rsidP="00531F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40C4E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531F4F" w:rsidTr="00850CA3">
        <w:trPr>
          <w:trHeight w:val="200"/>
        </w:trPr>
        <w:tc>
          <w:tcPr>
            <w:tcW w:w="1099" w:type="dxa"/>
            <w:shd w:val="clear" w:color="auto" w:fill="C7AED6" w:themeFill="accent6" w:themeFillTint="99"/>
          </w:tcPr>
          <w:p w:rsidR="00531F4F" w:rsidRPr="001765D1" w:rsidRDefault="00531F4F" w:rsidP="00531F4F">
            <w:pPr>
              <w:jc w:val="center"/>
            </w:pPr>
            <w:r w:rsidRPr="001765D1">
              <w:t>01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shd w:val="clear" w:color="auto" w:fill="FFFF99"/>
          </w:tcPr>
          <w:p w:rsidR="00531F4F" w:rsidRPr="00531F4F" w:rsidRDefault="00531F4F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EB"/>
          </w:tcPr>
          <w:p w:rsidR="00531F4F" w:rsidRPr="00191293" w:rsidRDefault="00531F4F" w:rsidP="00531F4F">
            <w:pPr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55"/>
        </w:trPr>
        <w:tc>
          <w:tcPr>
            <w:tcW w:w="1099" w:type="dxa"/>
            <w:shd w:val="clear" w:color="auto" w:fill="C7AED6" w:themeFill="accent6" w:themeFillTint="99"/>
          </w:tcPr>
          <w:p w:rsidR="00531F4F" w:rsidRPr="001765D1" w:rsidRDefault="00531F4F" w:rsidP="00531F4F">
            <w:pPr>
              <w:jc w:val="center"/>
            </w:pPr>
            <w:r w:rsidRPr="001765D1">
              <w:t>02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5727E9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محمد حمزہ ظہور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shd w:val="clear" w:color="auto" w:fill="C1E4EB"/>
          </w:tcPr>
          <w:p w:rsidR="00531F4F" w:rsidRPr="00191293" w:rsidRDefault="005727E9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غیر مسلموں میں دعوت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C7AED6" w:themeFill="accent6" w:themeFillTint="99"/>
          </w:tcPr>
          <w:p w:rsidR="00531F4F" w:rsidRPr="001765D1" w:rsidRDefault="00531F4F" w:rsidP="00531F4F">
            <w:pPr>
              <w:jc w:val="center"/>
            </w:pPr>
            <w:r w:rsidRPr="001765D1">
              <w:rPr>
                <w:rFonts w:hint="cs"/>
                <w:rtl/>
              </w:rPr>
              <w:t>04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FFFF99"/>
          </w:tcPr>
          <w:p w:rsidR="00531F4F" w:rsidRPr="00531F4F" w:rsidRDefault="00191293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حافظ عبدالباسط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shd w:val="clear" w:color="auto" w:fill="C1E4EB"/>
          </w:tcPr>
          <w:p w:rsidR="00531F4F" w:rsidRPr="00191293" w:rsidRDefault="00191293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 w:hint="cs"/>
                <w:rtl/>
              </w:rPr>
              <w:t>دعوت  تبلیغ  میں  ذرائع ابلاغ   کا کردار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55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t>05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4E2200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وسیم اکرم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1F1876" w:rsidP="001F1876">
            <w:pPr>
              <w:tabs>
                <w:tab w:val="left" w:pos="481"/>
                <w:tab w:val="center" w:pos="2077"/>
              </w:tabs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rtl/>
              </w:rPr>
              <w:tab/>
            </w:r>
            <w:r>
              <w:rPr>
                <w:rFonts w:ascii="Jameel Noori Nastaleeq" w:hAnsi="Jameel Noori Nastaleeq" w:cs="Jameel Noori Nastaleeq"/>
                <w:rtl/>
              </w:rPr>
              <w:tab/>
            </w:r>
            <w:r>
              <w:rPr>
                <w:rFonts w:ascii="Jameel Noori Nastaleeq" w:hAnsi="Jameel Noori Nastaleeq" w:cs="Jameel Noori Nastaleeq" w:hint="cs"/>
                <w:rtl/>
              </w:rPr>
              <w:t>ا</w:t>
            </w:r>
            <w:r w:rsidR="004E2200" w:rsidRPr="00191293">
              <w:rPr>
                <w:rFonts w:ascii="Jameel Noori Nastaleeq" w:hAnsi="Jameel Noori Nastaleeq" w:cs="Jameel Noori Nastaleeq"/>
                <w:rtl/>
              </w:rPr>
              <w:t>صلاحی جماعت وعالمی تنظیم العارفین کاتعارف اور دعوتی کردار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07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4753D9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محمد حمزہ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4753D9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اشاعت اسلام میں حضور ﷺ کے  استعمال کردہ ذرائع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tcBorders>
              <w:top w:val="single" w:sz="4" w:space="0" w:color="auto"/>
            </w:tcBorders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08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FFFF99"/>
          </w:tcPr>
          <w:p w:rsidR="00531F4F" w:rsidRPr="00531F4F" w:rsidRDefault="004E2200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4E2200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انیس</w:t>
            </w:r>
            <w:r w:rsidRPr="004E2200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Pr="004E2200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الرحمان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shd w:val="clear" w:color="auto" w:fill="C1E4EB"/>
          </w:tcPr>
          <w:p w:rsidR="00531F4F" w:rsidRPr="00191293" w:rsidRDefault="004E2200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تبلیغ اسلام بذریعہ شاعری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09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2F695C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محمد زین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2F695C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تبلیغی جماعت کے مسائل اور مشکلات سیرت کی روشنی میں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EC39FB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عبدلرحمن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9C3735" w:rsidP="00B7338D">
            <w:pPr>
              <w:jc w:val="center"/>
              <w:rPr>
                <w:rFonts w:ascii="Jameel Noori Nastaleeq" w:eastAsia="Arial Unicode MS" w:hAnsi="Jameel Noori Nastaleeq" w:cs="Jameel Noori Nastaleeq"/>
                <w:lang w:bidi="ur-PK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رسول</w:t>
            </w:r>
            <w:r w:rsidRPr="00191293">
              <w:rPr>
                <w:rFonts w:ascii="Jameel Noori Nastaleeq" w:eastAsia="Arial Unicode MS" w:hAnsi="Jameel Noori Nastaleeq" w:cs="Jameel Noori Nastaleeq"/>
                <w:rtl/>
              </w:rPr>
              <w:t>ﷺ</w:t>
            </w:r>
            <w:r w:rsidR="00B7338D">
              <w:rPr>
                <w:rFonts w:ascii="Jameel Noori Nastaleeq" w:eastAsia="Arial Unicode MS" w:hAnsi="Jameel Noori Nastaleeq" w:cs="Jameel Noori Nastaleeq" w:hint="cs"/>
                <w:rtl/>
              </w:rPr>
              <w:t xml:space="preserve"> </w:t>
            </w:r>
            <w:r w:rsidRPr="00191293">
              <w:rPr>
                <w:rFonts w:ascii="Jameel Noori Nastaleeq" w:eastAsia="Arial Unicode MS" w:hAnsi="Jameel Noori Nastaleeq" w:cs="Jameel Noori Nastaleeq"/>
                <w:rtl/>
                <w:lang w:bidi="ur-PK"/>
              </w:rPr>
              <w:t xml:space="preserve"> کا مکی زندگی کا منھج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4E2200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4E2200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حسن</w:t>
            </w:r>
            <w:r w:rsidRPr="004E2200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4E2200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بن</w:t>
            </w:r>
            <w:r w:rsidRPr="004E2200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4E2200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طاہر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4E2200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اسلوب دعوت سیرت کی روشنی میں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55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5727E9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572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زرمینہ</w:t>
            </w:r>
            <w:r w:rsidRPr="005727E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Pr="00572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لیاقت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5727E9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اسلامی ریاست میں غیر مسلموں کے حقوق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B3179E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3179E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پاکیزہ</w:t>
            </w:r>
            <w:r w:rsidRPr="00B3179E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Pr="00B3179E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اقبال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B3179E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اسلام کی جامعیت و ہم گریت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7767A3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نا ئمہ کبیر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7767A3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وعظ اور خطاب کی اسلامی روایت اوراس کے معاشرے پر اثرات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789" w:type="dxa"/>
            <w:shd w:val="clear" w:color="auto" w:fill="FFFF99"/>
          </w:tcPr>
          <w:p w:rsidR="00531F4F" w:rsidRPr="006C2E51" w:rsidRDefault="002F695C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6C2E51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ثناء فراز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2F695C" w:rsidP="002F695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۔ مسلمان خواتین کا تبلیغی کردار اور ان کی ذمہ داریاں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7767A3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7767A3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ربیعہ</w:t>
            </w:r>
            <w:r w:rsidRPr="007767A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Pr="007767A3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نور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7767A3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مکتوبات نبوی صل اللہ علیہ و آلہ و سلم کا دعوتی اسلوب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5533CE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ردا ناصر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5533CE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عہد نبوی پر قریش کا رد عمل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55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F72858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عروج فاطمہ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F72858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دعوت و تبلیغ کی حکمت عملی (تعلیمات نبوی صلی اللہ علیہ وسلم کی روشنی میں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4E2200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4E2200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عائشہ</w:t>
            </w:r>
            <w:r w:rsidRPr="004E2200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Pr="004E2200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اکرم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4E2200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مدینہ میں اشاعت اسلام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1929B3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شانزہ طاہر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1929B3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جاپان میں اسلام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100413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عافیہ طارق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100413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دعوت و تبلیغ کی حکمت تعلیمات نبوی صلی علیہ والہ وسلم کی روشنی میں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CC069F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عمارہ ظفر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CC069F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مسلمان خواتین کا تبلیغی کردار اور ان کی ذمہ داریاں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55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1B2D1A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سبیلہ طاہر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1B2D1A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حضرت ابو بکر صدیق کا دعوتی اسلوب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CE3B3D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شائستہ جبین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CE3B3D" w:rsidP="00531F4F">
            <w:pPr>
              <w:jc w:val="center"/>
              <w:rPr>
                <w:rFonts w:ascii="Jameel Noori Nastaleeq" w:eastAsia="Arial Unicode MS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اسوہ رسول</w:t>
            </w:r>
            <w:r w:rsidRPr="00191293">
              <w:rPr>
                <w:rFonts w:ascii="Jameel Noori Nastaleeq" w:eastAsia="Arial Unicode MS" w:hAnsi="Jameel Noori Nastaleeq" w:cs="Jameel Noori Nastaleeq"/>
                <w:rtl/>
              </w:rPr>
              <w:t>ﷺ کا دعوتی پہلو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904CCC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904CCC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عمارہ</w:t>
            </w:r>
            <w:r w:rsidRPr="00904CCC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904CCC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اعظم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904CCC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اشاعت اسلام کے ذرائع و وسائل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D43CE7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ثنا ء اصغر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D43CE7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یمن میں اشاعت اسلام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B3179E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عروج عثمان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B3179E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مدینہ میں اسلام کیسے پھیلا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531F4F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C1E4EB"/>
          </w:tcPr>
          <w:p w:rsidR="00531F4F" w:rsidRPr="00191293" w:rsidRDefault="00531F4F" w:rsidP="00531F4F">
            <w:pPr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55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572DD4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حمیرا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572DD4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مکہ میں دعوت دین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8C0D73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ربیعہ اشفاق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8C0D73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سیرت النبی کی روشنی میں اصلاح معاشرہ کے لیے تجاویز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BA0413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A0413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سا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ئ</w:t>
            </w:r>
            <w:r w:rsidRPr="00BA0413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رہ</w:t>
            </w:r>
            <w:r w:rsidRPr="00BA041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Pr="00BA0413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نور</w:t>
            </w:r>
            <w:r w:rsidRPr="00BA041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Pr="00BA0413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ملک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3D044A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حضرت فاطمة الزھرا رضی اللہ تعالٰی عنہا مسلم خواتین کے لیے رول ماڈل۔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2F695C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کائنات 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2F695C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دعوت تبلیغ کی حکمت عملی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5727E9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572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سدرہ</w:t>
            </w:r>
            <w:r w:rsidRPr="005727E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Pr="00572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جاوید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5727E9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برصغیر میں اشاعت اسلام کے ذرائع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F4F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531F4F" w:rsidRDefault="00531F4F" w:rsidP="00531F4F">
            <w:pPr>
              <w:jc w:val="center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789" w:type="dxa"/>
            <w:shd w:val="clear" w:color="auto" w:fill="FFFF99"/>
          </w:tcPr>
          <w:p w:rsidR="00531F4F" w:rsidRPr="00531F4F" w:rsidRDefault="00B7338D" w:rsidP="00531F4F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حفصہ حسن</w:t>
            </w:r>
          </w:p>
        </w:tc>
        <w:tc>
          <w:tcPr>
            <w:tcW w:w="4371" w:type="dxa"/>
            <w:shd w:val="clear" w:color="auto" w:fill="C1E4EB"/>
          </w:tcPr>
          <w:p w:rsidR="00531F4F" w:rsidRPr="00191293" w:rsidRDefault="00B7338D" w:rsidP="00531F4F">
            <w:pPr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عمر بن خطاب کا دعوتی اسلوب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531F4F" w:rsidRPr="001765D1" w:rsidRDefault="00531F4F" w:rsidP="00531F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CCC" w:rsidTr="00850CA3">
        <w:trPr>
          <w:trHeight w:val="255"/>
        </w:trPr>
        <w:tc>
          <w:tcPr>
            <w:tcW w:w="1099" w:type="dxa"/>
            <w:shd w:val="clear" w:color="auto" w:fill="C7AED6" w:themeFill="accent6" w:themeFillTint="99"/>
          </w:tcPr>
          <w:p w:rsidR="00904CCC" w:rsidRDefault="00904CCC" w:rsidP="00904CCC">
            <w:pPr>
              <w:jc w:val="center"/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789" w:type="dxa"/>
            <w:shd w:val="clear" w:color="auto" w:fill="FFFF99"/>
          </w:tcPr>
          <w:p w:rsidR="00904CCC" w:rsidRPr="00531F4F" w:rsidRDefault="00645900" w:rsidP="00904CC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صبا</w:t>
            </w:r>
            <w:r w:rsidR="00904CCC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 ءساجد</w:t>
            </w:r>
          </w:p>
        </w:tc>
        <w:tc>
          <w:tcPr>
            <w:tcW w:w="4371" w:type="dxa"/>
            <w:shd w:val="clear" w:color="auto" w:fill="C1E4EB"/>
          </w:tcPr>
          <w:p w:rsidR="00904CCC" w:rsidRPr="00191293" w:rsidRDefault="00904CCC" w:rsidP="00904CC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اشاعت اسلام میں جہاد۔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904CCC" w:rsidRPr="001765D1" w:rsidRDefault="00904CCC" w:rsidP="00904C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CCC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904CCC" w:rsidRDefault="00904CCC" w:rsidP="00904CCC">
            <w:pPr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789" w:type="dxa"/>
            <w:shd w:val="clear" w:color="auto" w:fill="FFFF99"/>
          </w:tcPr>
          <w:p w:rsidR="00904CCC" w:rsidRPr="00531F4F" w:rsidRDefault="00904CCC" w:rsidP="00904CC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حفصہ</w:t>
            </w:r>
          </w:p>
        </w:tc>
        <w:tc>
          <w:tcPr>
            <w:tcW w:w="4371" w:type="dxa"/>
            <w:shd w:val="clear" w:color="auto" w:fill="C1E4EB"/>
          </w:tcPr>
          <w:p w:rsidR="00904CCC" w:rsidRPr="00191293" w:rsidRDefault="00904CCC" w:rsidP="00904CC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حضرت نوع علیہ سلام کا دعوتی اسلوب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904CCC" w:rsidRPr="001765D1" w:rsidRDefault="00904CCC" w:rsidP="00904C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CCC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904CCC" w:rsidRDefault="00904CCC" w:rsidP="00904CCC">
            <w:pPr>
              <w:jc w:val="center"/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789" w:type="dxa"/>
            <w:shd w:val="clear" w:color="auto" w:fill="FFFF99"/>
          </w:tcPr>
          <w:p w:rsidR="00904CCC" w:rsidRPr="00531F4F" w:rsidRDefault="00904CCC" w:rsidP="00904CC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7767A3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اقصیٰ</w:t>
            </w:r>
            <w:r w:rsidRPr="007767A3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Pr="007767A3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4371" w:type="dxa"/>
            <w:shd w:val="clear" w:color="auto" w:fill="C1E4EB"/>
          </w:tcPr>
          <w:p w:rsidR="00904CCC" w:rsidRPr="00191293" w:rsidRDefault="00904CCC" w:rsidP="00904CC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سیرت کا پیغام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904CCC" w:rsidRPr="001765D1" w:rsidRDefault="00904CCC" w:rsidP="00904C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4CCC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904CCC" w:rsidRDefault="00904CCC" w:rsidP="00904CCC">
            <w:pPr>
              <w:jc w:val="center"/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789" w:type="dxa"/>
            <w:shd w:val="clear" w:color="auto" w:fill="FFFF99"/>
          </w:tcPr>
          <w:p w:rsidR="00904CCC" w:rsidRPr="00531F4F" w:rsidRDefault="00904CCC" w:rsidP="00904CC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C1E4EB"/>
          </w:tcPr>
          <w:p w:rsidR="00904CCC" w:rsidRPr="00191293" w:rsidRDefault="00904CCC" w:rsidP="00904CCC">
            <w:pPr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1865" w:type="dxa"/>
            <w:shd w:val="clear" w:color="auto" w:fill="C2C1C5" w:themeFill="text2" w:themeFillTint="66"/>
          </w:tcPr>
          <w:p w:rsidR="00904CCC" w:rsidRPr="001765D1" w:rsidRDefault="00904CCC" w:rsidP="00904C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6B2C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C06B2C" w:rsidRDefault="00C06B2C" w:rsidP="00C06B2C">
            <w:pPr>
              <w:jc w:val="center"/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2789" w:type="dxa"/>
            <w:shd w:val="clear" w:color="auto" w:fill="FFFF99"/>
          </w:tcPr>
          <w:p w:rsidR="00C06B2C" w:rsidRPr="00531F4F" w:rsidRDefault="00C06B2C" w:rsidP="00C06B2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عروج فاطمہ</w:t>
            </w:r>
          </w:p>
        </w:tc>
        <w:tc>
          <w:tcPr>
            <w:tcW w:w="4371" w:type="dxa"/>
            <w:shd w:val="clear" w:color="auto" w:fill="C1E4EB"/>
          </w:tcPr>
          <w:p w:rsidR="00C06B2C" w:rsidRPr="00531F4F" w:rsidRDefault="00C06B2C" w:rsidP="00C06B2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حضرت عیسی  ؑکا دعوت اسلوب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C06B2C" w:rsidRPr="001765D1" w:rsidRDefault="00C06B2C" w:rsidP="00C06B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6B2C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C06B2C" w:rsidRDefault="00C06B2C" w:rsidP="00C06B2C">
            <w:pPr>
              <w:jc w:val="center"/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789" w:type="dxa"/>
            <w:shd w:val="clear" w:color="auto" w:fill="FFFF99"/>
          </w:tcPr>
          <w:p w:rsidR="00C06B2C" w:rsidRPr="00531F4F" w:rsidRDefault="00C06B2C" w:rsidP="00C06B2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انعم امیر</w:t>
            </w:r>
          </w:p>
        </w:tc>
        <w:tc>
          <w:tcPr>
            <w:tcW w:w="4371" w:type="dxa"/>
            <w:shd w:val="clear" w:color="auto" w:fill="C1E4EB"/>
          </w:tcPr>
          <w:p w:rsidR="00C06B2C" w:rsidRPr="00191293" w:rsidRDefault="00C06B2C" w:rsidP="00C06B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حضرت شع</w:t>
            </w:r>
            <w:r w:rsidR="003849D3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191293">
              <w:rPr>
                <w:rFonts w:ascii="Jameel Noori Nastaleeq" w:hAnsi="Jameel Noori Nastaleeq" w:cs="Jameel Noori Nastaleeq"/>
                <w:rtl/>
              </w:rPr>
              <w:t>ب کا دعوتی اسلوب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C06B2C" w:rsidRPr="001765D1" w:rsidRDefault="00C06B2C" w:rsidP="00C06B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6B2C" w:rsidTr="00850CA3">
        <w:trPr>
          <w:trHeight w:val="255"/>
        </w:trPr>
        <w:tc>
          <w:tcPr>
            <w:tcW w:w="1099" w:type="dxa"/>
            <w:shd w:val="clear" w:color="auto" w:fill="C7AED6" w:themeFill="accent6" w:themeFillTint="99"/>
          </w:tcPr>
          <w:p w:rsidR="00C06B2C" w:rsidRDefault="00C06B2C" w:rsidP="00C06B2C">
            <w:pPr>
              <w:jc w:val="center"/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789" w:type="dxa"/>
            <w:shd w:val="clear" w:color="auto" w:fill="FFFF99"/>
          </w:tcPr>
          <w:p w:rsidR="00C06B2C" w:rsidRPr="00531F4F" w:rsidRDefault="00C06B2C" w:rsidP="00C06B2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ناتشہ اسلم</w:t>
            </w:r>
          </w:p>
        </w:tc>
        <w:tc>
          <w:tcPr>
            <w:tcW w:w="4371" w:type="dxa"/>
            <w:shd w:val="clear" w:color="auto" w:fill="C1E4EB"/>
          </w:tcPr>
          <w:p w:rsidR="00C06B2C" w:rsidRPr="00191293" w:rsidRDefault="00C06B2C" w:rsidP="00C06B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اسلوب دعوت سیرت کی روشنی میں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C06B2C" w:rsidRPr="001765D1" w:rsidRDefault="00C06B2C" w:rsidP="00C06B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6B2C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C06B2C" w:rsidRDefault="00C06B2C" w:rsidP="00C06B2C">
            <w:pPr>
              <w:jc w:val="center"/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2789" w:type="dxa"/>
            <w:shd w:val="clear" w:color="auto" w:fill="FFFF99"/>
          </w:tcPr>
          <w:p w:rsidR="00C06B2C" w:rsidRPr="00531F4F" w:rsidRDefault="00C06B2C" w:rsidP="00C06B2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عائشہ اسجد</w:t>
            </w:r>
          </w:p>
        </w:tc>
        <w:tc>
          <w:tcPr>
            <w:tcW w:w="4371" w:type="dxa"/>
            <w:shd w:val="clear" w:color="auto" w:fill="C1E4EB"/>
          </w:tcPr>
          <w:p w:rsidR="00C06B2C" w:rsidRPr="00191293" w:rsidRDefault="00C06B2C" w:rsidP="00C06B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دعوت وتبلیغ کے سلیقے واسالیب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C06B2C" w:rsidRPr="001765D1" w:rsidRDefault="00C06B2C" w:rsidP="00C06B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6B2C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C06B2C" w:rsidRDefault="00C06B2C" w:rsidP="00C06B2C">
            <w:pPr>
              <w:jc w:val="center"/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2789" w:type="dxa"/>
            <w:shd w:val="clear" w:color="auto" w:fill="FFFF99"/>
          </w:tcPr>
          <w:p w:rsidR="00C06B2C" w:rsidRPr="00531F4F" w:rsidRDefault="00C06B2C" w:rsidP="00C06B2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فاطمہ نوید</w:t>
            </w:r>
          </w:p>
        </w:tc>
        <w:tc>
          <w:tcPr>
            <w:tcW w:w="4371" w:type="dxa"/>
            <w:shd w:val="clear" w:color="auto" w:fill="C1E4EB"/>
          </w:tcPr>
          <w:p w:rsidR="00C06B2C" w:rsidRPr="00191293" w:rsidRDefault="00C06B2C" w:rsidP="00C06B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دعوت و تبلیغ کے بنیادی اصول قرآن و سنت کی روشنی میں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C06B2C" w:rsidRPr="001765D1" w:rsidRDefault="00C06B2C" w:rsidP="00C06B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6B2C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C06B2C" w:rsidRDefault="00C06B2C" w:rsidP="00C06B2C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2789" w:type="dxa"/>
            <w:shd w:val="clear" w:color="auto" w:fill="FFFF99"/>
          </w:tcPr>
          <w:p w:rsidR="00C06B2C" w:rsidRPr="00531F4F" w:rsidRDefault="00C06B2C" w:rsidP="00C06B2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2C4ED5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عشرت</w:t>
            </w:r>
            <w:r w:rsidRPr="002C4ED5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Pr="002C4ED5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اشرف</w:t>
            </w:r>
          </w:p>
        </w:tc>
        <w:tc>
          <w:tcPr>
            <w:tcW w:w="4371" w:type="dxa"/>
            <w:shd w:val="clear" w:color="auto" w:fill="C1E4EB"/>
          </w:tcPr>
          <w:p w:rsidR="00C06B2C" w:rsidRPr="00191293" w:rsidRDefault="00C06B2C" w:rsidP="00C06B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دعوت و ارشاد میں حکمت کی اہمیت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C06B2C" w:rsidRPr="001765D1" w:rsidRDefault="00C06B2C" w:rsidP="00C06B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6B2C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C06B2C" w:rsidRDefault="00C06B2C" w:rsidP="00C06B2C">
            <w:pPr>
              <w:jc w:val="center"/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789" w:type="dxa"/>
            <w:shd w:val="clear" w:color="auto" w:fill="FFFF99"/>
          </w:tcPr>
          <w:p w:rsidR="00C06B2C" w:rsidRPr="00531F4F" w:rsidRDefault="00C06B2C" w:rsidP="00C06B2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حفصہ اظہر</w:t>
            </w:r>
          </w:p>
        </w:tc>
        <w:tc>
          <w:tcPr>
            <w:tcW w:w="4371" w:type="dxa"/>
            <w:shd w:val="clear" w:color="auto" w:fill="C1E4EB"/>
          </w:tcPr>
          <w:p w:rsidR="00C06B2C" w:rsidRPr="00191293" w:rsidRDefault="00C06B2C" w:rsidP="00C06B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حضرت یوسف علیہ السلام کا دعوتی اسلوب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C06B2C" w:rsidRPr="001765D1" w:rsidRDefault="00C06B2C" w:rsidP="00C06B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6B2C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C06B2C" w:rsidRDefault="00C06B2C" w:rsidP="00C06B2C">
            <w:pPr>
              <w:jc w:val="center"/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2789" w:type="dxa"/>
            <w:shd w:val="clear" w:color="auto" w:fill="FFFF99"/>
          </w:tcPr>
          <w:p w:rsidR="00C06B2C" w:rsidRPr="00531F4F" w:rsidRDefault="00C06B2C" w:rsidP="00C06B2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ہمیرا  بی بی</w:t>
            </w:r>
          </w:p>
        </w:tc>
        <w:tc>
          <w:tcPr>
            <w:tcW w:w="4371" w:type="dxa"/>
            <w:shd w:val="clear" w:color="auto" w:fill="C1E4EB"/>
          </w:tcPr>
          <w:p w:rsidR="00C06B2C" w:rsidRPr="00191293" w:rsidRDefault="00C06B2C" w:rsidP="00C06B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امت مسلمہ کی خاتون اول ام المومنین حضرت خدیجہ رضی</w:t>
            </w:r>
          </w:p>
          <w:p w:rsidR="00C06B2C" w:rsidRPr="00191293" w:rsidRDefault="00C06B2C" w:rsidP="00C06B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کے حالات،فضائل اور دین اسلام کے لئے خدمات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C06B2C" w:rsidRPr="001765D1" w:rsidRDefault="00C06B2C" w:rsidP="00C06B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6B2C" w:rsidTr="00850CA3">
        <w:trPr>
          <w:trHeight w:val="283"/>
        </w:trPr>
        <w:tc>
          <w:tcPr>
            <w:tcW w:w="1099" w:type="dxa"/>
            <w:shd w:val="clear" w:color="auto" w:fill="C7AED6" w:themeFill="accent6" w:themeFillTint="99"/>
          </w:tcPr>
          <w:p w:rsidR="00C06B2C" w:rsidRDefault="00C06B2C" w:rsidP="00C06B2C">
            <w:pPr>
              <w:jc w:val="center"/>
            </w:pPr>
            <w:r>
              <w:rPr>
                <w:rFonts w:hint="cs"/>
                <w:rtl/>
              </w:rPr>
              <w:t>13</w:t>
            </w:r>
            <w:r>
              <w:t>R</w:t>
            </w:r>
          </w:p>
        </w:tc>
        <w:tc>
          <w:tcPr>
            <w:tcW w:w="2789" w:type="dxa"/>
            <w:shd w:val="clear" w:color="auto" w:fill="FFFF99"/>
          </w:tcPr>
          <w:p w:rsidR="00C06B2C" w:rsidRPr="00531F4F" w:rsidRDefault="00C06B2C" w:rsidP="00C06B2C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عبد الوھاب</w:t>
            </w:r>
          </w:p>
        </w:tc>
        <w:tc>
          <w:tcPr>
            <w:tcW w:w="4371" w:type="dxa"/>
            <w:shd w:val="clear" w:color="auto" w:fill="C1E4EB"/>
          </w:tcPr>
          <w:p w:rsidR="00C06B2C" w:rsidRPr="00191293" w:rsidRDefault="00C06B2C" w:rsidP="00C06B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191293">
              <w:rPr>
                <w:rFonts w:ascii="Jameel Noori Nastaleeq" w:hAnsi="Jameel Noori Nastaleeq" w:cs="Jameel Noori Nastaleeq"/>
                <w:rtl/>
              </w:rPr>
              <w:t>داعی کے اوصاف</w:t>
            </w:r>
          </w:p>
        </w:tc>
        <w:tc>
          <w:tcPr>
            <w:tcW w:w="1865" w:type="dxa"/>
            <w:shd w:val="clear" w:color="auto" w:fill="C2C1C5" w:themeFill="text2" w:themeFillTint="66"/>
          </w:tcPr>
          <w:p w:rsidR="00C06B2C" w:rsidRPr="001765D1" w:rsidRDefault="00C06B2C" w:rsidP="00C06B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3210B" w:rsidRPr="00463043" w:rsidRDefault="00A3210B" w:rsidP="00FF7725">
      <w:pPr>
        <w:spacing w:after="0"/>
        <w:jc w:val="center"/>
        <w:rPr>
          <w:rFonts w:asciiTheme="majorBidi" w:hAnsiTheme="majorBidi" w:cstheme="majorBidi"/>
          <w:b/>
          <w:sz w:val="32"/>
          <w:szCs w:val="24"/>
        </w:rPr>
      </w:pPr>
      <w:bookmarkStart w:id="0" w:name="_GoBack"/>
      <w:bookmarkEnd w:id="0"/>
    </w:p>
    <w:p w:rsidR="009D28EF" w:rsidRDefault="009D28EF" w:rsidP="00FF7725"/>
    <w:sectPr w:rsidR="009D28EF" w:rsidSect="00114C0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93" w:rsidRDefault="00C11693" w:rsidP="00802BF4">
      <w:pPr>
        <w:spacing w:after="0" w:line="240" w:lineRule="auto"/>
      </w:pPr>
      <w:r>
        <w:separator/>
      </w:r>
    </w:p>
  </w:endnote>
  <w:endnote w:type="continuationSeparator" w:id="0">
    <w:p w:rsidR="00C11693" w:rsidRDefault="00C11693" w:rsidP="0080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93" w:rsidRDefault="00C11693" w:rsidP="00802BF4">
      <w:pPr>
        <w:spacing w:after="0" w:line="240" w:lineRule="auto"/>
      </w:pPr>
      <w:r>
        <w:separator/>
      </w:r>
    </w:p>
  </w:footnote>
  <w:footnote w:type="continuationSeparator" w:id="0">
    <w:p w:rsidR="00C11693" w:rsidRDefault="00C11693" w:rsidP="0080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A"/>
    <w:rsid w:val="00100413"/>
    <w:rsid w:val="00107733"/>
    <w:rsid w:val="00114C0E"/>
    <w:rsid w:val="00115FF2"/>
    <w:rsid w:val="001765D1"/>
    <w:rsid w:val="00191293"/>
    <w:rsid w:val="001929B3"/>
    <w:rsid w:val="001A432C"/>
    <w:rsid w:val="001B2D1A"/>
    <w:rsid w:val="001F1876"/>
    <w:rsid w:val="002C3158"/>
    <w:rsid w:val="002C4ED5"/>
    <w:rsid w:val="002E3392"/>
    <w:rsid w:val="002F695C"/>
    <w:rsid w:val="003262FF"/>
    <w:rsid w:val="003806A5"/>
    <w:rsid w:val="003849D3"/>
    <w:rsid w:val="003B295D"/>
    <w:rsid w:val="003D044A"/>
    <w:rsid w:val="003D64C1"/>
    <w:rsid w:val="003F325D"/>
    <w:rsid w:val="00406E2D"/>
    <w:rsid w:val="00433D8A"/>
    <w:rsid w:val="00444008"/>
    <w:rsid w:val="004753D9"/>
    <w:rsid w:val="00477DB0"/>
    <w:rsid w:val="00484BCB"/>
    <w:rsid w:val="0049065F"/>
    <w:rsid w:val="004E2200"/>
    <w:rsid w:val="00521042"/>
    <w:rsid w:val="00531F4F"/>
    <w:rsid w:val="005533CE"/>
    <w:rsid w:val="00565043"/>
    <w:rsid w:val="005727E9"/>
    <w:rsid w:val="00572DD4"/>
    <w:rsid w:val="005741AB"/>
    <w:rsid w:val="005F3837"/>
    <w:rsid w:val="00645900"/>
    <w:rsid w:val="0067010A"/>
    <w:rsid w:val="006B5831"/>
    <w:rsid w:val="006C2E51"/>
    <w:rsid w:val="00740C4E"/>
    <w:rsid w:val="007767A3"/>
    <w:rsid w:val="007B3A92"/>
    <w:rsid w:val="007E2B40"/>
    <w:rsid w:val="00802BF4"/>
    <w:rsid w:val="00847BE7"/>
    <w:rsid w:val="00850CA3"/>
    <w:rsid w:val="00864328"/>
    <w:rsid w:val="008A6F35"/>
    <w:rsid w:val="008C0D73"/>
    <w:rsid w:val="008C55AA"/>
    <w:rsid w:val="008D12A2"/>
    <w:rsid w:val="008F071F"/>
    <w:rsid w:val="00904CCC"/>
    <w:rsid w:val="00951ED4"/>
    <w:rsid w:val="0097736B"/>
    <w:rsid w:val="009C3735"/>
    <w:rsid w:val="009D28EF"/>
    <w:rsid w:val="009D3811"/>
    <w:rsid w:val="00A30ED0"/>
    <w:rsid w:val="00A3210B"/>
    <w:rsid w:val="00A62921"/>
    <w:rsid w:val="00AD5C16"/>
    <w:rsid w:val="00B3179E"/>
    <w:rsid w:val="00B7338D"/>
    <w:rsid w:val="00BA0413"/>
    <w:rsid w:val="00C06B2C"/>
    <w:rsid w:val="00C11693"/>
    <w:rsid w:val="00C419D4"/>
    <w:rsid w:val="00C56CCA"/>
    <w:rsid w:val="00CC069F"/>
    <w:rsid w:val="00CD0286"/>
    <w:rsid w:val="00CE3B3D"/>
    <w:rsid w:val="00D345E4"/>
    <w:rsid w:val="00D43CE7"/>
    <w:rsid w:val="00DA2753"/>
    <w:rsid w:val="00E3355E"/>
    <w:rsid w:val="00E35DFE"/>
    <w:rsid w:val="00E5417E"/>
    <w:rsid w:val="00E65F46"/>
    <w:rsid w:val="00EC39FB"/>
    <w:rsid w:val="00F33570"/>
    <w:rsid w:val="00F53E4A"/>
    <w:rsid w:val="00F72858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9A1C3-3AA6-4687-B306-34FAF4D9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BF4"/>
  </w:style>
  <w:style w:type="paragraph" w:styleId="Footer">
    <w:name w:val="footer"/>
    <w:basedOn w:val="Normal"/>
    <w:link w:val="FooterChar"/>
    <w:uiPriority w:val="99"/>
    <w:semiHidden/>
    <w:unhideWhenUsed/>
    <w:rsid w:val="0080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SAMSUNG420</dc:creator>
  <cp:lastModifiedBy>Feroz Shah</cp:lastModifiedBy>
  <cp:revision>2</cp:revision>
  <cp:lastPrinted>2020-04-22T16:02:00Z</cp:lastPrinted>
  <dcterms:created xsi:type="dcterms:W3CDTF">2020-05-11T19:19:00Z</dcterms:created>
  <dcterms:modified xsi:type="dcterms:W3CDTF">2020-05-11T19:19:00Z</dcterms:modified>
</cp:coreProperties>
</file>