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12" w:rsidRPr="00DE2939" w:rsidRDefault="009A06F6" w:rsidP="009A06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bookmarkStart w:id="0" w:name="_Toc254863532"/>
      <w:bookmarkStart w:id="1" w:name="_GoBack"/>
      <w:bookmarkEnd w:id="1"/>
      <w:r w:rsidRPr="00DE2939">
        <w:rPr>
          <w:color w:val="000000"/>
          <w:sz w:val="24"/>
          <w:szCs w:val="24"/>
        </w:rPr>
        <w:t>UNIVERSITY OF SARGODHA</w:t>
      </w:r>
    </w:p>
    <w:p w:rsidR="009A06F6" w:rsidRDefault="009A06F6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DEPARTMENT OF</w:t>
      </w:r>
      <w:r w:rsidR="00095BF5">
        <w:rPr>
          <w:color w:val="000000"/>
          <w:sz w:val="24"/>
          <w:szCs w:val="24"/>
        </w:rPr>
        <w:t xml:space="preserve"> SOCIOLOGY</w:t>
      </w:r>
    </w:p>
    <w:p w:rsidR="00DE2939" w:rsidRPr="00DE2939" w:rsidRDefault="00DE2939" w:rsidP="009A06F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2939" w:rsidRPr="00DE2939" w:rsidRDefault="00DE2939" w:rsidP="009A06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401DA" w:rsidRPr="00DE2939" w:rsidRDefault="009A06F6" w:rsidP="0077385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OUTLINE</w:t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</w:r>
      <w:r w:rsidR="00773854">
        <w:rPr>
          <w:color w:val="000000"/>
          <w:sz w:val="24"/>
          <w:szCs w:val="24"/>
        </w:rPr>
        <w:tab/>
        <w:t>SPRING 2017</w:t>
      </w:r>
    </w:p>
    <w:p w:rsidR="009401DA" w:rsidRPr="00DE2939" w:rsidRDefault="009401DA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A06F6" w:rsidRPr="009A06F6" w:rsidRDefault="009A06F6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0F03" w:rsidRDefault="00580F03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9A06F6">
        <w:rPr>
          <w:color w:val="000000"/>
          <w:sz w:val="24"/>
          <w:szCs w:val="24"/>
        </w:rPr>
        <w:t>C</w:t>
      </w:r>
      <w:r w:rsidR="009A06F6" w:rsidRPr="009A06F6">
        <w:rPr>
          <w:color w:val="000000"/>
          <w:sz w:val="24"/>
          <w:szCs w:val="24"/>
        </w:rPr>
        <w:t xml:space="preserve">ourse Tittle: </w:t>
      </w:r>
      <w:r w:rsidR="00095BF5">
        <w:rPr>
          <w:color w:val="000000"/>
          <w:sz w:val="24"/>
          <w:szCs w:val="24"/>
        </w:rPr>
        <w:t>LOGIC AND CRITICAL THINKING</w:t>
      </w:r>
    </w:p>
    <w:p w:rsidR="00DE2939" w:rsidRPr="00DE2939" w:rsidRDefault="00DE2939" w:rsidP="00580F0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Course Code</w:t>
      </w:r>
      <w:r>
        <w:rPr>
          <w:color w:val="000000"/>
          <w:sz w:val="24"/>
          <w:szCs w:val="24"/>
        </w:rPr>
        <w:t>:</w:t>
      </w:r>
    </w:p>
    <w:p w:rsidR="00DE2939" w:rsidRDefault="00DE2939" w:rsidP="00580F03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DE2939">
        <w:rPr>
          <w:color w:val="000000"/>
          <w:sz w:val="24"/>
          <w:szCs w:val="24"/>
        </w:rPr>
        <w:t>Credit Hours:</w:t>
      </w:r>
      <w:r w:rsidR="00095BF5">
        <w:rPr>
          <w:color w:val="000000"/>
          <w:sz w:val="24"/>
          <w:szCs w:val="24"/>
        </w:rPr>
        <w:t>3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 xml:space="preserve">Instructor: </w:t>
      </w:r>
      <w:r w:rsidR="00095BF5">
        <w:rPr>
          <w:color w:val="000000"/>
          <w:sz w:val="24"/>
          <w:szCs w:val="24"/>
        </w:rPr>
        <w:t>Miss Riffat Jabeen</w:t>
      </w:r>
    </w:p>
    <w:p w:rsidR="00580F03" w:rsidRPr="009401DA" w:rsidRDefault="0093129F" w:rsidP="009312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01DA">
        <w:rPr>
          <w:color w:val="000000"/>
          <w:sz w:val="24"/>
          <w:szCs w:val="24"/>
        </w:rPr>
        <w:t>E</w:t>
      </w:r>
      <w:r w:rsidR="00580F03" w:rsidRPr="009401DA">
        <w:rPr>
          <w:color w:val="000000"/>
          <w:sz w:val="24"/>
          <w:szCs w:val="24"/>
        </w:rPr>
        <w:t>mail:</w:t>
      </w:r>
      <w:r w:rsidR="00095BF5">
        <w:rPr>
          <w:color w:val="000000"/>
          <w:sz w:val="24"/>
          <w:szCs w:val="24"/>
        </w:rPr>
        <w:t>Riffu05@yahoo.com</w:t>
      </w:r>
    </w:p>
    <w:p w:rsidR="00580F03" w:rsidRPr="009401DA" w:rsidRDefault="00580F03" w:rsidP="00580F0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80F03" w:rsidRPr="00DE2939" w:rsidRDefault="00580F03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DESCRIPTION</w:t>
      </w:r>
      <w:r w:rsidR="009401DA" w:rsidRPr="00DE2939">
        <w:rPr>
          <w:sz w:val="24"/>
          <w:szCs w:val="24"/>
        </w:rPr>
        <w:t>&amp; OBJECTIVES</w:t>
      </w:r>
    </w:p>
    <w:p w:rsidR="00580F03" w:rsidRPr="00DE2939" w:rsidRDefault="00580F03" w:rsidP="00580F03">
      <w:pPr>
        <w:rPr>
          <w:i/>
          <w:sz w:val="24"/>
          <w:szCs w:val="24"/>
        </w:rPr>
      </w:pPr>
    </w:p>
    <w:p w:rsidR="009A06F6" w:rsidRPr="00DE2939" w:rsidRDefault="00095BF5" w:rsidP="009A06F6">
      <w:pPr>
        <w:rPr>
          <w:i/>
          <w:sz w:val="24"/>
          <w:szCs w:val="24"/>
        </w:rPr>
      </w:pPr>
      <w:r>
        <w:rPr>
          <w:i/>
          <w:sz w:val="24"/>
          <w:szCs w:val="24"/>
        </w:rPr>
        <w:t>To make the students aware of logic and critical thinking and clear communication .Moreover to give them the insight and vision to understand the human wisdom.</w:t>
      </w:r>
    </w:p>
    <w:p w:rsidR="00580F03" w:rsidRPr="00DE2939" w:rsidRDefault="00580F03" w:rsidP="009312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01DA" w:rsidRPr="00DE2939" w:rsidRDefault="009401DA" w:rsidP="009401DA">
      <w:pPr>
        <w:jc w:val="center"/>
        <w:rPr>
          <w:sz w:val="24"/>
          <w:szCs w:val="24"/>
        </w:rPr>
      </w:pPr>
    </w:p>
    <w:p w:rsidR="00580F03" w:rsidRPr="00DE2939" w:rsidRDefault="00580F03" w:rsidP="0093129F">
      <w:pPr>
        <w:ind w:left="360"/>
        <w:jc w:val="center"/>
        <w:rPr>
          <w:sz w:val="24"/>
          <w:szCs w:val="24"/>
        </w:rPr>
      </w:pPr>
    </w:p>
    <w:p w:rsidR="00580F03" w:rsidRPr="00DE2939" w:rsidRDefault="00580F03" w:rsidP="0093129F">
      <w:pPr>
        <w:jc w:val="center"/>
        <w:rPr>
          <w:sz w:val="24"/>
          <w:szCs w:val="24"/>
        </w:rPr>
      </w:pPr>
    </w:p>
    <w:p w:rsidR="00580F03" w:rsidRPr="00DE2939" w:rsidRDefault="009401DA" w:rsidP="0093129F">
      <w:pPr>
        <w:shd w:val="clear" w:color="auto" w:fill="000000"/>
        <w:jc w:val="center"/>
        <w:rPr>
          <w:sz w:val="24"/>
          <w:szCs w:val="24"/>
        </w:rPr>
      </w:pPr>
      <w:r w:rsidRPr="00DE2939">
        <w:rPr>
          <w:color w:val="FFFFFF"/>
          <w:sz w:val="24"/>
          <w:szCs w:val="24"/>
        </w:rPr>
        <w:t>READINGS</w:t>
      </w:r>
    </w:p>
    <w:p w:rsidR="00580F03" w:rsidRPr="00DE2939" w:rsidRDefault="002B1BBA" w:rsidP="00613492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“The basic philosophy” By (Nigel Warburton 4</w:t>
      </w:r>
      <w:r w:rsidRPr="002B1B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Edition).” Thinking critically about Philosophical problems” by (Thomas F.Wall). </w:t>
      </w:r>
      <w:r w:rsidR="00613492">
        <w:rPr>
          <w:sz w:val="24"/>
          <w:szCs w:val="24"/>
        </w:rPr>
        <w:t>“Deduction” by (Karamat Hussain).  “Induction” by ( Karamat hussain). “Introduction to Logic” by (Irving copi).</w:t>
      </w:r>
    </w:p>
    <w:p w:rsidR="00580F03" w:rsidRPr="00DE2939" w:rsidRDefault="00580F03" w:rsidP="00580F03">
      <w:pPr>
        <w:rPr>
          <w:bCs/>
          <w:sz w:val="24"/>
          <w:szCs w:val="24"/>
        </w:rPr>
      </w:pPr>
    </w:p>
    <w:p w:rsidR="00580F03" w:rsidRPr="00284587" w:rsidRDefault="008E52CF" w:rsidP="00580F03">
      <w:pPr>
        <w:rPr>
          <w:bCs/>
          <w:i/>
          <w:color w:val="FF0000"/>
          <w:sz w:val="24"/>
          <w:szCs w:val="24"/>
        </w:rPr>
      </w:pPr>
      <w:r w:rsidRPr="00284587">
        <w:rPr>
          <w:bCs/>
          <w:i/>
          <w:color w:val="FF0000"/>
          <w:sz w:val="24"/>
          <w:szCs w:val="24"/>
        </w:rPr>
        <w:t>Write here the complete list of your course contents</w:t>
      </w:r>
      <w:r w:rsidR="000E4702">
        <w:rPr>
          <w:bCs/>
          <w:i/>
          <w:color w:val="FF0000"/>
          <w:sz w:val="24"/>
          <w:szCs w:val="24"/>
        </w:rPr>
        <w:t xml:space="preserve">in </w:t>
      </w:r>
      <w:r w:rsidR="00284587" w:rsidRPr="00284587">
        <w:rPr>
          <w:bCs/>
          <w:i/>
          <w:color w:val="FF0000"/>
          <w:sz w:val="24"/>
          <w:szCs w:val="24"/>
        </w:rPr>
        <w:t>serial numbers</w:t>
      </w:r>
    </w:p>
    <w:p w:rsidR="00580F03" w:rsidRPr="008E52CF" w:rsidRDefault="00580F03" w:rsidP="00580F03">
      <w:pPr>
        <w:rPr>
          <w:bCs/>
          <w:i/>
          <w:sz w:val="24"/>
          <w:szCs w:val="24"/>
        </w:rPr>
      </w:pPr>
    </w:p>
    <w:p w:rsidR="00580F03" w:rsidRPr="00DE2939" w:rsidRDefault="00750A17" w:rsidP="00580F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613492">
        <w:rPr>
          <w:bCs/>
          <w:sz w:val="24"/>
          <w:szCs w:val="24"/>
        </w:rPr>
        <w:t>Introduction to Philosophy and its historical background</w:t>
      </w:r>
      <w:r>
        <w:rPr>
          <w:bCs/>
          <w:sz w:val="24"/>
          <w:szCs w:val="24"/>
        </w:rPr>
        <w:t>”</w:t>
      </w:r>
      <w:r w:rsidR="00613492">
        <w:rPr>
          <w:bCs/>
          <w:sz w:val="24"/>
          <w:szCs w:val="24"/>
        </w:rPr>
        <w:t>.</w:t>
      </w:r>
      <w:r w:rsidR="006B10F0">
        <w:rPr>
          <w:bCs/>
          <w:sz w:val="24"/>
          <w:szCs w:val="24"/>
        </w:rPr>
        <w:t>Etymology of Philosophy .subject matter . division of Philosophy. Historical period of Philosophy.</w:t>
      </w:r>
      <w:r>
        <w:rPr>
          <w:bCs/>
          <w:sz w:val="24"/>
          <w:szCs w:val="24"/>
        </w:rPr>
        <w:t>”</w:t>
      </w:r>
      <w:r w:rsidR="00613492">
        <w:rPr>
          <w:bCs/>
          <w:sz w:val="24"/>
          <w:szCs w:val="24"/>
        </w:rPr>
        <w:t xml:space="preserve"> Thinking critically about Philosophical problems</w:t>
      </w:r>
      <w:r>
        <w:rPr>
          <w:bCs/>
          <w:sz w:val="24"/>
          <w:szCs w:val="24"/>
        </w:rPr>
        <w:t>”</w:t>
      </w:r>
      <w:r w:rsidR="0061349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“Definition and scope of logic”</w:t>
      </w:r>
      <w:r w:rsidR="006B10F0">
        <w:rPr>
          <w:bCs/>
          <w:sz w:val="24"/>
          <w:szCs w:val="24"/>
        </w:rPr>
        <w:t>.what is logic. Aim of logic. Prts of logic .Difference between logical and Psychological reasoning .Principles of logic . Proposition .Types of proposition .Arguments. Deductive and Inductive argument .Types of arguments .</w:t>
      </w:r>
      <w:r>
        <w:rPr>
          <w:bCs/>
          <w:sz w:val="24"/>
          <w:szCs w:val="24"/>
        </w:rPr>
        <w:t xml:space="preserve"> The laws of logic .law of identity .Law of non contradiction .Law of excluded middle .Law of sufficient reason. Deductive reasoning . Immediate and Mediate inference. What is critical thinking. Guide line and pitfalls’ of critical thinking. Kinds of induction.Enumiration and analogy.</w:t>
      </w:r>
      <w:r w:rsidR="006B10F0">
        <w:rPr>
          <w:bCs/>
          <w:sz w:val="24"/>
          <w:szCs w:val="24"/>
        </w:rPr>
        <w:t xml:space="preserve"> Parity of reasoning and colligation of facts. Scientific generalization .Empirical generalization. Hypothesis.</w:t>
      </w:r>
    </w:p>
    <w:p w:rsidR="00580F03" w:rsidRPr="00DE2939" w:rsidRDefault="00580F03" w:rsidP="00580F03">
      <w:pPr>
        <w:rPr>
          <w:bCs/>
          <w:sz w:val="24"/>
          <w:szCs w:val="24"/>
        </w:rPr>
      </w:pPr>
    </w:p>
    <w:p w:rsidR="0093129F" w:rsidRPr="00DE2939" w:rsidRDefault="0093129F" w:rsidP="0093129F">
      <w:pPr>
        <w:shd w:val="clear" w:color="auto" w:fill="000000"/>
        <w:ind w:firstLine="567"/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COURSE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832"/>
        <w:gridCol w:w="2127"/>
      </w:tblGrid>
      <w:tr w:rsidR="00580F03" w:rsidRPr="00DE2939" w:rsidTr="00773854">
        <w:trPr>
          <w:jc w:val="center"/>
        </w:trPr>
        <w:tc>
          <w:tcPr>
            <w:tcW w:w="695" w:type="dxa"/>
          </w:tcPr>
          <w:p w:rsidR="009401DA" w:rsidRPr="00DE2939" w:rsidRDefault="009401DA" w:rsidP="0093129F">
            <w:pPr>
              <w:jc w:val="center"/>
              <w:rPr>
                <w:sz w:val="24"/>
                <w:szCs w:val="24"/>
              </w:rPr>
            </w:pPr>
          </w:p>
          <w:p w:rsidR="00580F03" w:rsidRPr="008E52CF" w:rsidRDefault="008E52CF" w:rsidP="00773854">
            <w:pPr>
              <w:jc w:val="center"/>
              <w:rPr>
                <w:sz w:val="24"/>
                <w:szCs w:val="24"/>
              </w:rPr>
            </w:pPr>
            <w:r w:rsidRPr="008E52C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832" w:type="dxa"/>
          </w:tcPr>
          <w:p w:rsidR="00580F03" w:rsidRPr="00DE2939" w:rsidRDefault="008E52CF" w:rsidP="00B976E9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</w:t>
            </w:r>
            <w:r w:rsidR="00DE2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Reading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0E4702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Give</w:t>
            </w:r>
            <w:r w:rsidR="00B976E9"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Reading No </w:t>
            </w:r>
            <w:r w:rsidR="00284587"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from your list of readings above </w:t>
            </w:r>
            <w:r w:rsidR="00B976E9"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and </w:t>
            </w:r>
            <w:r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its </w:t>
            </w:r>
            <w:r w:rsidR="00B976E9"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Page </w:t>
            </w:r>
            <w:r w:rsidR="00DE2939"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Nos</w:t>
            </w:r>
            <w:r w:rsidR="00B976E9"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.</w:t>
            </w:r>
            <w:r w:rsidRPr="00284587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 xml:space="preserve"> relevant to the topic(s) covered each week</w:t>
            </w:r>
          </w:p>
        </w:tc>
        <w:tc>
          <w:tcPr>
            <w:tcW w:w="2127" w:type="dxa"/>
          </w:tcPr>
          <w:p w:rsidR="00580F03" w:rsidRPr="00DE2939" w:rsidRDefault="00773854" w:rsidP="0093129F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Dates 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580F03" w:rsidRPr="00DE2939" w:rsidRDefault="00402B0F" w:rsidP="00D6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Philosophy and its historical background.</w:t>
            </w:r>
          </w:p>
        </w:tc>
        <w:tc>
          <w:tcPr>
            <w:tcW w:w="2127" w:type="dxa"/>
          </w:tcPr>
          <w:p w:rsidR="00580F03" w:rsidRPr="00DE2939" w:rsidRDefault="00402B0F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27feb 2017 to 3march.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6832" w:type="dxa"/>
          </w:tcPr>
          <w:p w:rsidR="00580F03" w:rsidRPr="00DE2939" w:rsidRDefault="00402B0F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Definition, scope, aim and parts of logic.</w:t>
            </w:r>
          </w:p>
        </w:tc>
        <w:tc>
          <w:tcPr>
            <w:tcW w:w="2127" w:type="dxa"/>
          </w:tcPr>
          <w:p w:rsidR="00580F03" w:rsidRPr="00DE2939" w:rsidRDefault="00402B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6Mar to 10 Mar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832" w:type="dxa"/>
          </w:tcPr>
          <w:p w:rsidR="00580F03" w:rsidRPr="00DE2939" w:rsidRDefault="00402B0F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of logic .Proposition .type of proposition.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 to 17 Mar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580F03" w:rsidRPr="00DE2939" w:rsidRDefault="00402B0F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Arguments and type of </w:t>
            </w:r>
            <w:r w:rsidR="00F8120E">
              <w:rPr>
                <w:sz w:val="24"/>
                <w:szCs w:val="24"/>
              </w:rPr>
              <w:t>arguments (Deductive</w:t>
            </w:r>
            <w:r>
              <w:rPr>
                <w:sz w:val="24"/>
                <w:szCs w:val="24"/>
              </w:rPr>
              <w:t xml:space="preserve"> and Inductive).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 to 24 Mar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580F03" w:rsidRPr="00DE2939" w:rsidRDefault="00402B0F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Deductive </w:t>
            </w:r>
            <w:r w:rsidR="00F8120E">
              <w:rPr>
                <w:sz w:val="24"/>
                <w:szCs w:val="24"/>
              </w:rPr>
              <w:t>reasoning. The laws of logic.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 to 31 Mar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6832" w:type="dxa"/>
          </w:tcPr>
          <w:p w:rsidR="00580F03" w:rsidRPr="00DE2939" w:rsidRDefault="00F8120E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and Mediate inference.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April to 7 Apr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580F03" w:rsidRPr="00DE2939" w:rsidRDefault="00F8120E" w:rsidP="00F8120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What is critical thinking . Guide line and pitfalls of critical thinking.</w:t>
            </w:r>
          </w:p>
        </w:tc>
        <w:tc>
          <w:tcPr>
            <w:tcW w:w="2127" w:type="dxa"/>
          </w:tcPr>
          <w:p w:rsidR="00580F03" w:rsidRPr="00DE2939" w:rsidRDefault="00E44D0F" w:rsidP="00E4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April to 14 Apr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580F03" w:rsidRPr="00DE2939" w:rsidRDefault="00F8120E" w:rsidP="00D66A8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Mid- Term</w:t>
            </w:r>
          </w:p>
        </w:tc>
        <w:tc>
          <w:tcPr>
            <w:tcW w:w="2127" w:type="dxa"/>
          </w:tcPr>
          <w:p w:rsidR="00580F03" w:rsidRPr="00DE2939" w:rsidRDefault="00E44D0F" w:rsidP="00E4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April to 29 Apr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580F03" w:rsidRPr="00DE2939" w:rsidRDefault="00F8120E" w:rsidP="0093129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Assignments.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May to 5 May</w:t>
            </w:r>
          </w:p>
        </w:tc>
      </w:tr>
      <w:tr w:rsidR="00580F03" w:rsidRPr="00DE2939" w:rsidTr="00773854">
        <w:trPr>
          <w:trHeight w:val="70"/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580F03" w:rsidRPr="00DE2939" w:rsidRDefault="00F8120E" w:rsidP="0093129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Kinds of induction .</w:t>
            </w:r>
          </w:p>
        </w:tc>
        <w:tc>
          <w:tcPr>
            <w:tcW w:w="2127" w:type="dxa"/>
          </w:tcPr>
          <w:p w:rsidR="00580F03" w:rsidRPr="00DE2939" w:rsidRDefault="00E44D0F" w:rsidP="00E4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May to 12 May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6832" w:type="dxa"/>
          </w:tcPr>
          <w:p w:rsidR="00580F03" w:rsidRPr="00DE2939" w:rsidRDefault="00F8120E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Enumeration and Analogy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May to 19 May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6832" w:type="dxa"/>
          </w:tcPr>
          <w:p w:rsidR="00580F03" w:rsidRPr="00DE2939" w:rsidRDefault="00F8120E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Parity of reasoning and colligation of facts.</w:t>
            </w:r>
          </w:p>
        </w:tc>
        <w:tc>
          <w:tcPr>
            <w:tcW w:w="2127" w:type="dxa"/>
          </w:tcPr>
          <w:p w:rsidR="00580F03" w:rsidRPr="00DE2939" w:rsidRDefault="00E44D0F" w:rsidP="00E4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22May to 26 May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6832" w:type="dxa"/>
          </w:tcPr>
          <w:p w:rsidR="00580F03" w:rsidRPr="00DE2939" w:rsidRDefault="00F8120E" w:rsidP="0077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generalization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29May to 2 June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6832" w:type="dxa"/>
          </w:tcPr>
          <w:p w:rsidR="00580F03" w:rsidRPr="00DE2939" w:rsidRDefault="00F8120E" w:rsidP="00F81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Empirical generalization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5june to 9 June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15.</w:t>
            </w:r>
          </w:p>
        </w:tc>
        <w:tc>
          <w:tcPr>
            <w:tcW w:w="6832" w:type="dxa"/>
          </w:tcPr>
          <w:p w:rsidR="00580F03" w:rsidRPr="00DE2939" w:rsidRDefault="00F8120E" w:rsidP="0093129F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Hypothesis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12june to 16 June </w:t>
            </w:r>
          </w:p>
        </w:tc>
      </w:tr>
      <w:tr w:rsidR="00580F03" w:rsidRPr="00DE2939" w:rsidTr="00773854">
        <w:trPr>
          <w:jc w:val="center"/>
        </w:trPr>
        <w:tc>
          <w:tcPr>
            <w:tcW w:w="695" w:type="dxa"/>
          </w:tcPr>
          <w:p w:rsidR="00580F03" w:rsidRPr="00DE2939" w:rsidRDefault="00580F03" w:rsidP="0093129F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6832" w:type="dxa"/>
          </w:tcPr>
          <w:p w:rsidR="00580F03" w:rsidRPr="00DE2939" w:rsidRDefault="00F8120E" w:rsidP="00931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and final term</w:t>
            </w:r>
          </w:p>
        </w:tc>
        <w:tc>
          <w:tcPr>
            <w:tcW w:w="2127" w:type="dxa"/>
          </w:tcPr>
          <w:p w:rsidR="00580F03" w:rsidRPr="00DE2939" w:rsidRDefault="00E44D0F" w:rsidP="00773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19june to 24 June </w:t>
            </w:r>
          </w:p>
        </w:tc>
      </w:tr>
    </w:tbl>
    <w:p w:rsidR="00580F03" w:rsidRDefault="00580F03" w:rsidP="00580F03">
      <w:pPr>
        <w:rPr>
          <w:sz w:val="24"/>
          <w:szCs w:val="24"/>
        </w:rPr>
      </w:pPr>
    </w:p>
    <w:p w:rsidR="00055F96" w:rsidRPr="000E4702" w:rsidRDefault="001C0DA1" w:rsidP="00580F03">
      <w:pPr>
        <w:rPr>
          <w:i/>
          <w:color w:val="FF0000"/>
          <w:sz w:val="24"/>
          <w:szCs w:val="24"/>
        </w:rPr>
      </w:pPr>
      <w:r w:rsidRPr="000E4702">
        <w:rPr>
          <w:i/>
          <w:color w:val="FF0000"/>
          <w:sz w:val="24"/>
          <w:szCs w:val="24"/>
        </w:rPr>
        <w:t>Note: You can reserve one week for sessional or mid-term exam, and, if you wish, one week for student presentations of the assigned research project</w:t>
      </w:r>
    </w:p>
    <w:bookmarkEnd w:id="0"/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1C0DA1" w:rsidRPr="00DE2939" w:rsidRDefault="001C0DA1" w:rsidP="001C0DA1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RESEARCH PROJECT 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284587" w:rsidRDefault="00F8120E" w:rsidP="000E4702">
      <w:pPr>
        <w:tabs>
          <w:tab w:val="left" w:pos="1035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Assignments</w:t>
      </w:r>
      <w:r w:rsidR="00055F96" w:rsidRPr="00284587">
        <w:rPr>
          <w:i/>
          <w:color w:val="FF0000"/>
          <w:sz w:val="24"/>
          <w:szCs w:val="24"/>
        </w:rPr>
        <w:t>.</w:t>
      </w:r>
    </w:p>
    <w:p w:rsidR="00D66A8A" w:rsidRPr="00DE2939" w:rsidRDefault="00D66A8A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Pr="00DE293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Pr="00DE2939" w:rsidRDefault="00B976E9" w:rsidP="00B976E9">
      <w:pPr>
        <w:shd w:val="clear" w:color="auto" w:fill="000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ASSESSMENT CRITERIA </w:t>
      </w:r>
    </w:p>
    <w:p w:rsidR="00B976E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Pr="00284587" w:rsidRDefault="00B976E9" w:rsidP="00055F96">
      <w:pPr>
        <w:tabs>
          <w:tab w:val="left" w:pos="1035"/>
        </w:tabs>
        <w:rPr>
          <w:i/>
          <w:color w:val="FF0000"/>
          <w:sz w:val="24"/>
          <w:szCs w:val="24"/>
        </w:rPr>
      </w:pPr>
      <w:r w:rsidRPr="00284587">
        <w:rPr>
          <w:i/>
          <w:color w:val="FF0000"/>
          <w:sz w:val="24"/>
          <w:szCs w:val="24"/>
        </w:rPr>
        <w:t>Write here the distribution of marks</w:t>
      </w:r>
      <w:r w:rsidR="001C0DA1" w:rsidRPr="00284587">
        <w:rPr>
          <w:i/>
          <w:color w:val="FF0000"/>
          <w:sz w:val="24"/>
          <w:szCs w:val="24"/>
        </w:rPr>
        <w:t>. You can chose any or all from below for the purpose.</w:t>
      </w:r>
    </w:p>
    <w:p w:rsidR="00B976E9" w:rsidRDefault="00B976E9" w:rsidP="00B976E9">
      <w:pPr>
        <w:tabs>
          <w:tab w:val="left" w:pos="1035"/>
        </w:tabs>
        <w:jc w:val="center"/>
        <w:rPr>
          <w:sz w:val="24"/>
          <w:szCs w:val="24"/>
        </w:rPr>
      </w:pPr>
    </w:p>
    <w:p w:rsidR="00B976E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Sessional:</w:t>
      </w:r>
      <w:r w:rsidR="00F8120E">
        <w:rPr>
          <w:sz w:val="24"/>
          <w:szCs w:val="24"/>
        </w:rPr>
        <w:t>20</w:t>
      </w:r>
    </w:p>
    <w:p w:rsidR="00B976E9" w:rsidRDefault="00114EF0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Mid term</w:t>
      </w:r>
      <w:r w:rsidR="00B976E9">
        <w:rPr>
          <w:sz w:val="24"/>
          <w:szCs w:val="24"/>
        </w:rPr>
        <w:t>:</w:t>
      </w:r>
      <w:r>
        <w:rPr>
          <w:sz w:val="24"/>
          <w:szCs w:val="24"/>
        </w:rPr>
        <w:t>30</w:t>
      </w:r>
    </w:p>
    <w:p w:rsidR="001C0DA1" w:rsidRDefault="001C0DA1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Presentation: </w:t>
      </w:r>
      <w:r w:rsidR="00114EF0">
        <w:rPr>
          <w:sz w:val="24"/>
          <w:szCs w:val="24"/>
        </w:rPr>
        <w:t>10</w:t>
      </w:r>
    </w:p>
    <w:p w:rsidR="00B976E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Participation:  </w:t>
      </w:r>
      <w:r w:rsidR="00114EF0">
        <w:rPr>
          <w:sz w:val="24"/>
          <w:szCs w:val="24"/>
        </w:rPr>
        <w:t>10</w:t>
      </w:r>
    </w:p>
    <w:p w:rsidR="00B976E9" w:rsidRPr="00DE2939" w:rsidRDefault="00B976E9" w:rsidP="00B976E9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Final</w:t>
      </w:r>
      <w:r w:rsidR="00894FA1">
        <w:rPr>
          <w:sz w:val="24"/>
          <w:szCs w:val="24"/>
        </w:rPr>
        <w:t xml:space="preserve"> exam</w:t>
      </w:r>
      <w:r>
        <w:rPr>
          <w:sz w:val="24"/>
          <w:szCs w:val="24"/>
        </w:rPr>
        <w:t>:</w:t>
      </w:r>
      <w:r w:rsidR="00114EF0">
        <w:rPr>
          <w:sz w:val="24"/>
          <w:szCs w:val="24"/>
        </w:rPr>
        <w:t>50</w:t>
      </w:r>
    </w:p>
    <w:p w:rsidR="00580F03" w:rsidRPr="00DE2939" w:rsidRDefault="00580F03" w:rsidP="0093129F">
      <w:pPr>
        <w:tabs>
          <w:tab w:val="left" w:pos="1035"/>
        </w:tabs>
        <w:jc w:val="center"/>
        <w:rPr>
          <w:sz w:val="24"/>
          <w:szCs w:val="24"/>
        </w:rPr>
      </w:pPr>
    </w:p>
    <w:p w:rsidR="00580F03" w:rsidRPr="00DE2939" w:rsidRDefault="0093129F" w:rsidP="009401DA">
      <w:pPr>
        <w:shd w:val="clear" w:color="auto" w:fill="000000"/>
        <w:tabs>
          <w:tab w:val="left" w:pos="1035"/>
        </w:tabs>
        <w:jc w:val="center"/>
        <w:rPr>
          <w:sz w:val="24"/>
          <w:szCs w:val="24"/>
        </w:rPr>
      </w:pPr>
      <w:r w:rsidRPr="00DE2939">
        <w:rPr>
          <w:sz w:val="24"/>
          <w:szCs w:val="24"/>
        </w:rPr>
        <w:t>RULES AND REGULATIONS</w:t>
      </w:r>
    </w:p>
    <w:p w:rsidR="00D62D6C" w:rsidRDefault="00D62D6C">
      <w:pPr>
        <w:rPr>
          <w:sz w:val="24"/>
          <w:szCs w:val="24"/>
        </w:rPr>
      </w:pPr>
    </w:p>
    <w:p w:rsidR="00055F96" w:rsidRPr="00894FA1" w:rsidRDefault="00055F96">
      <w:pPr>
        <w:rPr>
          <w:i/>
          <w:color w:val="FF0000"/>
          <w:sz w:val="24"/>
          <w:szCs w:val="24"/>
        </w:rPr>
      </w:pPr>
      <w:r w:rsidRPr="00894FA1">
        <w:rPr>
          <w:i/>
          <w:color w:val="FF0000"/>
          <w:sz w:val="24"/>
          <w:szCs w:val="24"/>
        </w:rPr>
        <w:t xml:space="preserve">Write here the rules and regulations that students have to abide by in your class. Some of these rules, for example, 80% class attendance are standards for the university. </w:t>
      </w:r>
    </w:p>
    <w:p w:rsidR="001C0DA1" w:rsidRPr="00894FA1" w:rsidRDefault="001C0DA1">
      <w:pPr>
        <w:rPr>
          <w:i/>
          <w:color w:val="FF0000"/>
          <w:sz w:val="24"/>
          <w:szCs w:val="24"/>
        </w:rPr>
      </w:pPr>
    </w:p>
    <w:p w:rsidR="001C0DA1" w:rsidRPr="00894FA1" w:rsidRDefault="001C0DA1">
      <w:pPr>
        <w:rPr>
          <w:i/>
          <w:color w:val="FF0000"/>
          <w:sz w:val="24"/>
          <w:szCs w:val="24"/>
        </w:rPr>
      </w:pPr>
      <w:r w:rsidRPr="00894FA1">
        <w:rPr>
          <w:i/>
          <w:color w:val="FF0000"/>
          <w:sz w:val="24"/>
          <w:szCs w:val="24"/>
        </w:rPr>
        <w:t>FINAL NOTE: The instructions above mentioned in italics</w:t>
      </w:r>
      <w:r w:rsidR="00894FA1">
        <w:rPr>
          <w:i/>
          <w:color w:val="FF0000"/>
          <w:sz w:val="24"/>
          <w:szCs w:val="24"/>
        </w:rPr>
        <w:t xml:space="preserve"> and red color</w:t>
      </w:r>
      <w:r w:rsidRPr="00894FA1">
        <w:rPr>
          <w:i/>
          <w:color w:val="FF0000"/>
          <w:sz w:val="24"/>
          <w:szCs w:val="24"/>
        </w:rPr>
        <w:t xml:space="preserve"> are for your guidance</w:t>
      </w:r>
      <w:r w:rsidR="00894FA1">
        <w:rPr>
          <w:i/>
          <w:color w:val="FF0000"/>
          <w:sz w:val="24"/>
          <w:szCs w:val="24"/>
        </w:rPr>
        <w:t xml:space="preserve"> only</w:t>
      </w:r>
      <w:r w:rsidRPr="00894FA1">
        <w:rPr>
          <w:i/>
          <w:color w:val="FF0000"/>
          <w:sz w:val="24"/>
          <w:szCs w:val="24"/>
        </w:rPr>
        <w:t>. Remove them while completing this course outline template</w:t>
      </w:r>
      <w:r w:rsidR="00894FA1">
        <w:rPr>
          <w:i/>
          <w:color w:val="FF0000"/>
          <w:sz w:val="24"/>
          <w:szCs w:val="24"/>
        </w:rPr>
        <w:t>.Your final course outline document should be in black color.</w:t>
      </w:r>
    </w:p>
    <w:sectPr w:rsidR="001C0DA1" w:rsidRPr="00894FA1" w:rsidSect="0093129F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A3" w:rsidRDefault="006466A3">
      <w:r>
        <w:separator/>
      </w:r>
    </w:p>
  </w:endnote>
  <w:endnote w:type="continuationSeparator" w:id="0">
    <w:p w:rsidR="006466A3" w:rsidRDefault="006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A3" w:rsidRDefault="006466A3">
      <w:r>
        <w:separator/>
      </w:r>
    </w:p>
  </w:footnote>
  <w:footnote w:type="continuationSeparator" w:id="0">
    <w:p w:rsidR="006466A3" w:rsidRDefault="0064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EDA"/>
    <w:multiLevelType w:val="hybridMultilevel"/>
    <w:tmpl w:val="7AE2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95F1A"/>
    <w:multiLevelType w:val="hybridMultilevel"/>
    <w:tmpl w:val="AE626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B1744"/>
    <w:multiLevelType w:val="hybridMultilevel"/>
    <w:tmpl w:val="17CE7B06"/>
    <w:lvl w:ilvl="0" w:tplc="40043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218562D"/>
    <w:multiLevelType w:val="hybridMultilevel"/>
    <w:tmpl w:val="693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03"/>
    <w:rsid w:val="00055F96"/>
    <w:rsid w:val="00095BF5"/>
    <w:rsid w:val="000E4702"/>
    <w:rsid w:val="00114EF0"/>
    <w:rsid w:val="001C0DA1"/>
    <w:rsid w:val="00284587"/>
    <w:rsid w:val="002B1BBA"/>
    <w:rsid w:val="002C3A29"/>
    <w:rsid w:val="003D2666"/>
    <w:rsid w:val="00402B0F"/>
    <w:rsid w:val="00465955"/>
    <w:rsid w:val="00580F03"/>
    <w:rsid w:val="00613492"/>
    <w:rsid w:val="006466A3"/>
    <w:rsid w:val="006B10F0"/>
    <w:rsid w:val="00750A17"/>
    <w:rsid w:val="00773854"/>
    <w:rsid w:val="0083604B"/>
    <w:rsid w:val="00853F8C"/>
    <w:rsid w:val="008863FD"/>
    <w:rsid w:val="00894FA1"/>
    <w:rsid w:val="008E52CF"/>
    <w:rsid w:val="0093129F"/>
    <w:rsid w:val="009401DA"/>
    <w:rsid w:val="009A06F6"/>
    <w:rsid w:val="00B07A31"/>
    <w:rsid w:val="00B976E9"/>
    <w:rsid w:val="00C04912"/>
    <w:rsid w:val="00C451A3"/>
    <w:rsid w:val="00D62D6C"/>
    <w:rsid w:val="00D66A8A"/>
    <w:rsid w:val="00DE2939"/>
    <w:rsid w:val="00E44D0F"/>
    <w:rsid w:val="00F8120E"/>
    <w:rsid w:val="00FF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2D151E-B8FE-4EA0-B03B-C386FF08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0F03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0F03"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F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80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80F03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80F03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rsid w:val="00580F03"/>
    <w:pPr>
      <w:tabs>
        <w:tab w:val="center" w:pos="4320"/>
        <w:tab w:val="right" w:pos="8640"/>
      </w:tabs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0F0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580F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9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0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B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QAU.edu.pk</dc:creator>
  <cp:lastModifiedBy>Riffat</cp:lastModifiedBy>
  <cp:revision>2</cp:revision>
  <dcterms:created xsi:type="dcterms:W3CDTF">2020-04-19T14:32:00Z</dcterms:created>
  <dcterms:modified xsi:type="dcterms:W3CDTF">2020-04-19T14:32:00Z</dcterms:modified>
</cp:coreProperties>
</file>