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88" w:rsidRDefault="00544D88" w:rsidP="00544D88">
      <w:pPr>
        <w:jc w:val="center"/>
        <w:rPr>
          <w:b/>
          <w:bCs/>
          <w:sz w:val="24"/>
          <w:szCs w:val="24"/>
        </w:rPr>
      </w:pPr>
      <w:r>
        <w:rPr>
          <w:b/>
          <w:bCs/>
          <w:sz w:val="24"/>
          <w:szCs w:val="24"/>
        </w:rPr>
        <w:t>G</w:t>
      </w:r>
      <w:r w:rsidRPr="009773F2">
        <w:rPr>
          <w:b/>
          <w:bCs/>
          <w:sz w:val="24"/>
          <w:szCs w:val="24"/>
        </w:rPr>
        <w:t>ENETIC ENGINEERING</w:t>
      </w:r>
    </w:p>
    <w:p w:rsidR="00544D88" w:rsidRPr="009773F2" w:rsidRDefault="00544D88" w:rsidP="00544D88">
      <w:pPr>
        <w:jc w:val="center"/>
        <w:rPr>
          <w:b/>
          <w:bCs/>
          <w:sz w:val="24"/>
          <w:szCs w:val="24"/>
        </w:rPr>
      </w:pPr>
    </w:p>
    <w:p w:rsidR="00544D88" w:rsidRPr="00EA307C" w:rsidRDefault="00544D88" w:rsidP="00544D88">
      <w:pPr>
        <w:jc w:val="both"/>
      </w:pPr>
      <w:r>
        <w:rPr>
          <w:sz w:val="24"/>
          <w:szCs w:val="24"/>
        </w:rPr>
        <w:t xml:space="preserve">AS the whole codon is composed of 4 alphabets A, T, G and C, hence we can use the genetic information from any organism and then transfer to any other organism by means of genetic engineering in this way desirable variation can be created. E.g. B.T cotton has a BT gene transferred from bacteria named </w:t>
      </w:r>
      <w:r w:rsidRPr="009B724C">
        <w:rPr>
          <w:i/>
          <w:sz w:val="24"/>
          <w:szCs w:val="24"/>
          <w:u w:val="single"/>
        </w:rPr>
        <w:t>Bacillus</w:t>
      </w:r>
      <w:r w:rsidRPr="009B724C">
        <w:rPr>
          <w:sz w:val="24"/>
          <w:szCs w:val="24"/>
          <w:u w:val="single"/>
        </w:rPr>
        <w:t xml:space="preserve"> </w:t>
      </w:r>
      <w:hyperlink r:id="rId6" w:history="1">
        <w:proofErr w:type="spellStart"/>
        <w:r w:rsidRPr="009B724C">
          <w:rPr>
            <w:rStyle w:val="Hyperlink"/>
            <w:bCs/>
            <w:i/>
            <w:iCs/>
            <w:color w:val="auto"/>
            <w:sz w:val="24"/>
            <w:szCs w:val="24"/>
            <w:shd w:val="clear" w:color="auto" w:fill="FFFFFF"/>
          </w:rPr>
          <w:t>thuringiensis</w:t>
        </w:r>
        <w:proofErr w:type="spellEnd"/>
      </w:hyperlink>
      <w:proofErr w:type="gramStart"/>
      <w:r>
        <w:rPr>
          <w:sz w:val="24"/>
          <w:szCs w:val="24"/>
        </w:rPr>
        <w:t>,</w:t>
      </w:r>
      <w:proofErr w:type="gramEnd"/>
      <w:r>
        <w:rPr>
          <w:sz w:val="24"/>
          <w:szCs w:val="24"/>
        </w:rPr>
        <w:t xml:space="preserve"> this gene perforates the gut of any chewing insect that bites on the cotton plant. In this way desirable characters can be transferred from any species across the species barrier. Any gene from any species can be transferred to any other species for creating useful variation. Any organism having foreign DNA is called </w:t>
      </w:r>
      <w:r w:rsidRPr="009A671B">
        <w:rPr>
          <w:b/>
          <w:i/>
          <w:sz w:val="24"/>
          <w:szCs w:val="24"/>
        </w:rPr>
        <w:t>Transgenic Organism</w:t>
      </w:r>
      <w:r>
        <w:rPr>
          <w:b/>
          <w:i/>
          <w:sz w:val="24"/>
          <w:szCs w:val="24"/>
        </w:rPr>
        <w:t>.</w:t>
      </w:r>
    </w:p>
    <w:p w:rsidR="00544D88" w:rsidRDefault="00544D88" w:rsidP="007E62D2">
      <w:pPr>
        <w:pStyle w:val="Heading3"/>
        <w:spacing w:before="0" w:beforeAutospacing="0" w:after="0" w:afterAutospacing="0"/>
        <w:jc w:val="both"/>
        <w:rPr>
          <w:b w:val="0"/>
          <w:bCs w:val="0"/>
          <w:sz w:val="24"/>
          <w:szCs w:val="24"/>
        </w:rPr>
      </w:pPr>
    </w:p>
    <w:p w:rsidR="007E62D2" w:rsidRPr="00A30E48" w:rsidRDefault="007E62D2" w:rsidP="007E62D2">
      <w:pPr>
        <w:pStyle w:val="Heading3"/>
        <w:spacing w:before="0" w:beforeAutospacing="0" w:after="0" w:afterAutospacing="0"/>
        <w:jc w:val="both"/>
        <w:rPr>
          <w:b w:val="0"/>
          <w:bCs w:val="0"/>
          <w:sz w:val="24"/>
          <w:szCs w:val="24"/>
        </w:rPr>
      </w:pPr>
      <w:bookmarkStart w:id="0" w:name="_GoBack"/>
      <w:bookmarkEnd w:id="0"/>
      <w:r w:rsidRPr="00A30E48">
        <w:rPr>
          <w:b w:val="0"/>
          <w:bCs w:val="0"/>
          <w:sz w:val="24"/>
          <w:szCs w:val="24"/>
        </w:rPr>
        <w:t xml:space="preserve">How to Exploit Transgenic Plants Bearing </w:t>
      </w:r>
      <w:proofErr w:type="spellStart"/>
      <w:r w:rsidRPr="00A30E48">
        <w:rPr>
          <w:b w:val="0"/>
          <w:bCs w:val="0"/>
          <w:sz w:val="24"/>
          <w:szCs w:val="24"/>
        </w:rPr>
        <w:t>Somaclonal</w:t>
      </w:r>
      <w:proofErr w:type="spellEnd"/>
      <w:r w:rsidRPr="00A30E48">
        <w:rPr>
          <w:b w:val="0"/>
          <w:bCs w:val="0"/>
          <w:sz w:val="24"/>
          <w:szCs w:val="24"/>
        </w:rPr>
        <w:t xml:space="preserve"> Variation</w:t>
      </w:r>
    </w:p>
    <w:p w:rsidR="007E62D2" w:rsidRPr="00A30E48" w:rsidRDefault="007E62D2" w:rsidP="007E62D2">
      <w:pPr>
        <w:pStyle w:val="NormalWeb"/>
        <w:spacing w:before="0" w:beforeAutospacing="0" w:after="0" w:afterAutospacing="0" w:line="360" w:lineRule="atLeast"/>
        <w:jc w:val="both"/>
      </w:pPr>
      <w:proofErr w:type="spellStart"/>
      <w:r w:rsidRPr="00A30E48">
        <w:rPr>
          <w:rStyle w:val="topic-highlight"/>
        </w:rPr>
        <w:t>Somaclonal</w:t>
      </w:r>
      <w:proofErr w:type="spellEnd"/>
      <w:r w:rsidRPr="00A30E48">
        <w:rPr>
          <w:rStyle w:val="topic-highlight"/>
        </w:rPr>
        <w:t xml:space="preserve"> variation</w:t>
      </w:r>
      <w:r w:rsidRPr="00A30E48">
        <w:t> can disturb both basic and applied studies on </w:t>
      </w:r>
      <w:hyperlink r:id="rId7" w:tooltip="Learn more about Transgenic Plant from ScienceDirect's AI-generated Topic Pages" w:history="1">
        <w:r w:rsidRPr="00A30E48">
          <w:rPr>
            <w:rStyle w:val="Hyperlink"/>
            <w:color w:val="auto"/>
          </w:rPr>
          <w:t>transgenic plants</w:t>
        </w:r>
      </w:hyperlink>
      <w:r w:rsidRPr="00A30E48">
        <w:t xml:space="preserve">. The use of transgenic plants in order to assign a role to cloned genes of unknown function may be impaired by concomitant variant traits due to </w:t>
      </w:r>
      <w:proofErr w:type="spellStart"/>
      <w:r w:rsidRPr="00A30E48">
        <w:t>somaclonal</w:t>
      </w:r>
      <w:proofErr w:type="spellEnd"/>
      <w:r w:rsidRPr="00A30E48">
        <w:t xml:space="preserve"> variation. For example, in the agronomic and industrial exploitation of transgenic plants, transgenic elite </w:t>
      </w:r>
      <w:hyperlink r:id="rId8" w:tooltip="Learn more about Cultivar from ScienceDirect's AI-generated Topic Pages" w:history="1">
        <w:r w:rsidRPr="00A30E48">
          <w:rPr>
            <w:rStyle w:val="Hyperlink"/>
            <w:color w:val="auto"/>
          </w:rPr>
          <w:t>cultivars</w:t>
        </w:r>
      </w:hyperlink>
      <w:r w:rsidRPr="00A30E48">
        <w:t> might show undesirable changes compared with the original plant. For instance, when insect-resistant, transgenic sugarcane plants were produced, they were found to be morphologically identical, but the agronomic analysis of selected plants showed changes in some </w:t>
      </w:r>
      <w:hyperlink r:id="rId9" w:tooltip="Learn more about Agronomic Traits from ScienceDirect's AI-generated Topic Pages" w:history="1">
        <w:r w:rsidRPr="00A30E48">
          <w:rPr>
            <w:rStyle w:val="Hyperlink"/>
            <w:color w:val="auto"/>
          </w:rPr>
          <w:t>agronomic traits</w:t>
        </w:r>
      </w:hyperlink>
      <w:r w:rsidRPr="00A30E48">
        <w:t>. Rare DNA changes were also observed by </w:t>
      </w:r>
      <w:hyperlink r:id="rId10" w:tooltip="Learn more about Amplified Fragment Length Polymorphism from ScienceDirect's AI-generated Topic Pages" w:history="1">
        <w:r w:rsidRPr="00A30E48">
          <w:rPr>
            <w:rStyle w:val="Hyperlink"/>
            <w:color w:val="auto"/>
          </w:rPr>
          <w:t>AFLP</w:t>
        </w:r>
      </w:hyperlink>
      <w:r w:rsidRPr="00A30E48">
        <w:t> analysis.</w:t>
      </w:r>
    </w:p>
    <w:p w:rsidR="007E62D2" w:rsidRPr="00A30E48" w:rsidRDefault="007E62D2" w:rsidP="007E62D2">
      <w:pPr>
        <w:pStyle w:val="NormalWeb"/>
        <w:spacing w:before="0" w:beforeAutospacing="0" w:after="0" w:afterAutospacing="0" w:line="360" w:lineRule="atLeast"/>
        <w:jc w:val="both"/>
      </w:pPr>
      <w:r w:rsidRPr="00A30E48">
        <w:t xml:space="preserve">Nevertheless, a large array of commercially exploitable transgenic plants has been produced. In fact, several different approaches can be applied to overcome the problem of </w:t>
      </w:r>
      <w:proofErr w:type="spellStart"/>
      <w:r w:rsidRPr="00A30E48">
        <w:t>somaclonal</w:t>
      </w:r>
      <w:proofErr w:type="spellEnd"/>
      <w:r w:rsidRPr="00A30E48">
        <w:t xml:space="preserve"> variation in transgenic plants. One may be that of using recurrent </w:t>
      </w:r>
      <w:proofErr w:type="spellStart"/>
      <w:r w:rsidRPr="00A30E48">
        <w:t>backcrossings</w:t>
      </w:r>
      <w:proofErr w:type="spellEnd"/>
      <w:r w:rsidRPr="00A30E48">
        <w:t xml:space="preserve"> to restore the original genotype while retaining the foreign gene. A second approach may be to utilize the best-performing transgenic plants, regardless of genomic changes. The former approach is particularly suitable for annual crops, such as rice, while the latter is suitable for plants that are commercially reproduced by cuttings, such as sugarcane or </w:t>
      </w:r>
      <w:hyperlink r:id="rId11" w:tooltip="Learn more about Populus from ScienceDirect's AI-generated Topic Pages" w:history="1">
        <w:r w:rsidRPr="00A30E48">
          <w:rPr>
            <w:rStyle w:val="Hyperlink"/>
            <w:color w:val="auto"/>
          </w:rPr>
          <w:t>poplar</w:t>
        </w:r>
      </w:hyperlink>
      <w:r w:rsidRPr="00A30E48">
        <w:t xml:space="preserve">. But these approaches are not appropriate for all cases. For instance, in the hypothetical case of transgenic olive trees, it would not be practical to wait years before verifying that </w:t>
      </w:r>
      <w:proofErr w:type="spellStart"/>
      <w:r w:rsidRPr="00A30E48">
        <w:t>somaclonal</w:t>
      </w:r>
      <w:proofErr w:type="spellEnd"/>
      <w:r w:rsidRPr="00A30E48">
        <w:t xml:space="preserve"> variation had not affected flavor, yield, ripening, or other industrial traits in selected trees.</w:t>
      </w:r>
    </w:p>
    <w:p w:rsidR="007E62D2" w:rsidRPr="00A30E48" w:rsidRDefault="007E62D2" w:rsidP="007E62D2">
      <w:pPr>
        <w:pStyle w:val="NormalWeb"/>
        <w:spacing w:before="0" w:beforeAutospacing="0" w:after="96" w:afterAutospacing="0" w:line="360" w:lineRule="atLeast"/>
        <w:ind w:left="720"/>
        <w:jc w:val="both"/>
        <w:rPr>
          <w:rFonts w:ascii="Arial" w:hAnsi="Arial" w:cs="Arial"/>
        </w:rPr>
      </w:pPr>
    </w:p>
    <w:p w:rsidR="00AF613F" w:rsidRPr="00A30E48" w:rsidRDefault="00AF613F" w:rsidP="007E62D2">
      <w:pPr>
        <w:jc w:val="both"/>
        <w:rPr>
          <w:sz w:val="24"/>
          <w:szCs w:val="24"/>
        </w:rPr>
      </w:pPr>
    </w:p>
    <w:p w:rsidR="007E62D2" w:rsidRPr="00A30E48" w:rsidRDefault="007E62D2">
      <w:pPr>
        <w:jc w:val="both"/>
        <w:rPr>
          <w:sz w:val="24"/>
          <w:szCs w:val="24"/>
        </w:rPr>
      </w:pPr>
    </w:p>
    <w:sectPr w:rsidR="007E62D2" w:rsidRPr="00A30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4"/>
  </w:num>
  <w:num w:numId="4">
    <w:abstractNumId w:val="3"/>
  </w:num>
  <w:num w:numId="5">
    <w:abstractNumId w:val="8"/>
  </w:num>
  <w:num w:numId="6">
    <w:abstractNumId w:val="1"/>
  </w:num>
  <w:num w:numId="7">
    <w:abstractNumId w:val="15"/>
  </w:num>
  <w:num w:numId="8">
    <w:abstractNumId w:val="7"/>
  </w:num>
  <w:num w:numId="9">
    <w:abstractNumId w:val="14"/>
  </w:num>
  <w:num w:numId="10">
    <w:abstractNumId w:val="20"/>
  </w:num>
  <w:num w:numId="11">
    <w:abstractNumId w:val="12"/>
  </w:num>
  <w:num w:numId="12">
    <w:abstractNumId w:val="0"/>
  </w:num>
  <w:num w:numId="13">
    <w:abstractNumId w:val="21"/>
  </w:num>
  <w:num w:numId="14">
    <w:abstractNumId w:val="16"/>
  </w:num>
  <w:num w:numId="15">
    <w:abstractNumId w:val="11"/>
  </w:num>
  <w:num w:numId="16">
    <w:abstractNumId w:val="22"/>
  </w:num>
  <w:num w:numId="17">
    <w:abstractNumId w:val="13"/>
  </w:num>
  <w:num w:numId="18">
    <w:abstractNumId w:val="5"/>
  </w:num>
  <w:num w:numId="19">
    <w:abstractNumId w:val="23"/>
  </w:num>
  <w:num w:numId="20">
    <w:abstractNumId w:val="2"/>
  </w:num>
  <w:num w:numId="21">
    <w:abstractNumId w:val="17"/>
  </w:num>
  <w:num w:numId="22">
    <w:abstractNumId w:val="18"/>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77C2C"/>
    <w:rsid w:val="00095626"/>
    <w:rsid w:val="002E5DDB"/>
    <w:rsid w:val="00322F9E"/>
    <w:rsid w:val="00386780"/>
    <w:rsid w:val="004364B5"/>
    <w:rsid w:val="0044371F"/>
    <w:rsid w:val="00513258"/>
    <w:rsid w:val="00544D88"/>
    <w:rsid w:val="006E24CB"/>
    <w:rsid w:val="006F6D9C"/>
    <w:rsid w:val="006F7830"/>
    <w:rsid w:val="007E62D2"/>
    <w:rsid w:val="009025AB"/>
    <w:rsid w:val="0093202A"/>
    <w:rsid w:val="00A30E48"/>
    <w:rsid w:val="00AF613F"/>
    <w:rsid w:val="00B36E98"/>
    <w:rsid w:val="00BA533A"/>
    <w:rsid w:val="00C01E3C"/>
    <w:rsid w:val="00E0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cultiv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sciencedirect.com/topics/biochemistry-genetics-and-molecular-biology/transgenic-pl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bacillus+thuringiensis&amp;spell=1&amp;sa=X&amp;ved=0ahUKEwiTwuD95MXgAhVJwAIHHTPRA5gQkeECCCgoAA" TargetMode="External"/><Relationship Id="rId11" Type="http://schemas.openxmlformats.org/officeDocument/2006/relationships/hyperlink" Target="https://www.sciencedirect.com/topics/biochemistry-genetics-and-molecular-biology/populus" TargetMode="External"/><Relationship Id="rId5" Type="http://schemas.openxmlformats.org/officeDocument/2006/relationships/webSettings" Target="webSettings.xml"/><Relationship Id="rId10" Type="http://schemas.openxmlformats.org/officeDocument/2006/relationships/hyperlink" Target="https://www.sciencedirect.com/topics/biochemistry-genetics-and-molecular-biology/amplified-fragment-length-polymorphism" TargetMode="External"/><Relationship Id="rId4" Type="http://schemas.openxmlformats.org/officeDocument/2006/relationships/settings" Target="settings.xml"/><Relationship Id="rId9" Type="http://schemas.openxmlformats.org/officeDocument/2006/relationships/hyperlink" Target="https://www.sciencedirect.com/topics/agricultural-and-biological-sciences/agronomic-tra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2020-04-19T10:36:00Z</dcterms:created>
  <dcterms:modified xsi:type="dcterms:W3CDTF">2020-04-19T10:36:00Z</dcterms:modified>
</cp:coreProperties>
</file>