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03B" w:rsidRDefault="007D203B" w:rsidP="007D203B">
      <w:pPr>
        <w:pStyle w:val="Heading3"/>
        <w:shd w:val="clear" w:color="auto" w:fill="FFFFFF"/>
        <w:spacing w:after="75"/>
        <w:rPr>
          <w:color w:val="309BBE"/>
          <w:sz w:val="45"/>
          <w:szCs w:val="45"/>
        </w:rPr>
      </w:pPr>
      <w:r>
        <w:rPr>
          <w:color w:val="309BBE"/>
          <w:sz w:val="45"/>
          <w:szCs w:val="45"/>
        </w:rPr>
        <w:t>Special Health Care and Medical Education Department Punjab</w:t>
      </w:r>
    </w:p>
    <w:p w:rsidR="007D203B" w:rsidRDefault="007D203B" w:rsidP="007D203B">
      <w:pPr>
        <w:pStyle w:val="Heading3"/>
        <w:shd w:val="clear" w:color="auto" w:fill="FFFFFF"/>
        <w:spacing w:after="75"/>
        <w:rPr>
          <w:color w:val="309BBE"/>
          <w:sz w:val="45"/>
          <w:szCs w:val="45"/>
        </w:rPr>
      </w:pPr>
      <w:r>
        <w:rPr>
          <w:color w:val="309BBE"/>
          <w:sz w:val="45"/>
          <w:szCs w:val="45"/>
        </w:rPr>
        <w:t>Overview</w:t>
      </w:r>
    </w:p>
    <w:p w:rsidR="007D203B" w:rsidRDefault="007D203B" w:rsidP="007D203B">
      <w:pPr>
        <w:shd w:val="clear" w:color="auto" w:fill="FFFFFF"/>
        <w:spacing w:before="300" w:after="300"/>
        <w:jc w:val="both"/>
        <w:rPr>
          <w:rFonts w:ascii="Helvetica" w:hAnsi="Helvetica" w:cs="Helvetica"/>
          <w:color w:val="333333"/>
          <w:sz w:val="21"/>
          <w:szCs w:val="21"/>
        </w:rPr>
      </w:pPr>
      <w:r>
        <w:rPr>
          <w:rFonts w:ascii="Helvetica" w:hAnsi="Helvetica" w:cs="Helvetica"/>
          <w:color w:val="333333"/>
          <w:sz w:val="21"/>
          <w:szCs w:val="21"/>
        </w:rPr>
        <w:t>Specialized Healthcare &amp; Medical Education Department delivers quality healthcare services to the community through an efficient and effective service delivery system that is accessible, equitable, culturally acceptable, affordable and sustainable. Specialized Healthcare &amp; Medical Education Department aims to improve the health and quality of life of all, particularly women and children, through access to essential health services. Specialized Healthcare &amp; Medical Education Department strives to reform and strengthen the critical aspects of the health systems and enable it to:</w:t>
      </w:r>
    </w:p>
    <w:p w:rsidR="007D203B" w:rsidRDefault="007D203B" w:rsidP="007D203B">
      <w:pPr>
        <w:numPr>
          <w:ilvl w:val="0"/>
          <w:numId w:val="2"/>
        </w:numPr>
        <w:shd w:val="clear" w:color="auto" w:fill="FFFFFF"/>
        <w:spacing w:after="0" w:line="240" w:lineRule="auto"/>
        <w:ind w:left="0"/>
        <w:jc w:val="both"/>
        <w:rPr>
          <w:rFonts w:ascii="Helvetica" w:hAnsi="Helvetica" w:cs="Helvetica"/>
          <w:color w:val="333333"/>
          <w:sz w:val="21"/>
          <w:szCs w:val="21"/>
        </w:rPr>
      </w:pPr>
      <w:r>
        <w:rPr>
          <w:rFonts w:ascii="Helvetica" w:hAnsi="Helvetica" w:cs="Helvetica"/>
          <w:color w:val="333333"/>
          <w:sz w:val="21"/>
          <w:szCs w:val="21"/>
        </w:rPr>
        <w:t>Provide and deliver a basic package of quality essential health care services</w:t>
      </w:r>
    </w:p>
    <w:p w:rsidR="007D203B" w:rsidRDefault="007D203B" w:rsidP="007D203B">
      <w:pPr>
        <w:numPr>
          <w:ilvl w:val="0"/>
          <w:numId w:val="2"/>
        </w:numPr>
        <w:shd w:val="clear" w:color="auto" w:fill="FFFFFF"/>
        <w:spacing w:after="0" w:line="240" w:lineRule="auto"/>
        <w:ind w:left="0"/>
        <w:jc w:val="both"/>
        <w:rPr>
          <w:rFonts w:ascii="Helvetica" w:hAnsi="Helvetica" w:cs="Helvetica"/>
          <w:color w:val="333333"/>
          <w:sz w:val="21"/>
          <w:szCs w:val="21"/>
        </w:rPr>
      </w:pPr>
      <w:r>
        <w:rPr>
          <w:rFonts w:ascii="Helvetica" w:hAnsi="Helvetica" w:cs="Helvetica"/>
          <w:color w:val="333333"/>
          <w:sz w:val="21"/>
          <w:szCs w:val="21"/>
        </w:rPr>
        <w:t>Develop and manage competent and committed health care providers</w:t>
      </w:r>
    </w:p>
    <w:p w:rsidR="007D203B" w:rsidRDefault="007D203B" w:rsidP="007D203B">
      <w:pPr>
        <w:numPr>
          <w:ilvl w:val="0"/>
          <w:numId w:val="2"/>
        </w:numPr>
        <w:shd w:val="clear" w:color="auto" w:fill="FFFFFF"/>
        <w:spacing w:after="0" w:line="240" w:lineRule="auto"/>
        <w:ind w:left="0"/>
        <w:jc w:val="both"/>
        <w:rPr>
          <w:rFonts w:ascii="Helvetica" w:hAnsi="Helvetica" w:cs="Helvetica"/>
          <w:color w:val="333333"/>
          <w:sz w:val="21"/>
          <w:szCs w:val="21"/>
        </w:rPr>
      </w:pPr>
      <w:r>
        <w:rPr>
          <w:rFonts w:ascii="Helvetica" w:hAnsi="Helvetica" w:cs="Helvetica"/>
          <w:color w:val="333333"/>
          <w:sz w:val="21"/>
          <w:szCs w:val="21"/>
        </w:rPr>
        <w:t>Generate reliable health information to manage and evaluate health services</w:t>
      </w:r>
    </w:p>
    <w:p w:rsidR="007D203B" w:rsidRDefault="007D203B" w:rsidP="007D203B">
      <w:pPr>
        <w:numPr>
          <w:ilvl w:val="0"/>
          <w:numId w:val="2"/>
        </w:numPr>
        <w:shd w:val="clear" w:color="auto" w:fill="FFFFFF"/>
        <w:spacing w:after="0" w:line="240" w:lineRule="auto"/>
        <w:ind w:left="0"/>
        <w:jc w:val="both"/>
        <w:rPr>
          <w:rFonts w:ascii="Helvetica" w:hAnsi="Helvetica" w:cs="Helvetica"/>
          <w:color w:val="333333"/>
          <w:sz w:val="21"/>
          <w:szCs w:val="21"/>
        </w:rPr>
      </w:pPr>
      <w:r>
        <w:rPr>
          <w:rFonts w:ascii="Helvetica" w:hAnsi="Helvetica" w:cs="Helvetica"/>
          <w:color w:val="333333"/>
          <w:sz w:val="21"/>
          <w:szCs w:val="21"/>
        </w:rPr>
        <w:t>Adopt appropriate health technology to deliver quality services</w:t>
      </w:r>
    </w:p>
    <w:p w:rsidR="007D203B" w:rsidRDefault="007D203B" w:rsidP="007D203B">
      <w:pPr>
        <w:numPr>
          <w:ilvl w:val="0"/>
          <w:numId w:val="2"/>
        </w:numPr>
        <w:shd w:val="clear" w:color="auto" w:fill="FFFFFF"/>
        <w:spacing w:after="0" w:line="240" w:lineRule="auto"/>
        <w:ind w:left="0"/>
        <w:jc w:val="both"/>
        <w:rPr>
          <w:rFonts w:ascii="Helvetica" w:hAnsi="Helvetica" w:cs="Helvetica"/>
          <w:color w:val="333333"/>
          <w:sz w:val="21"/>
          <w:szCs w:val="21"/>
        </w:rPr>
      </w:pPr>
      <w:r>
        <w:rPr>
          <w:rFonts w:ascii="Helvetica" w:hAnsi="Helvetica" w:cs="Helvetica"/>
          <w:color w:val="333333"/>
          <w:sz w:val="21"/>
          <w:szCs w:val="21"/>
        </w:rPr>
        <w:t>Finance the costs of providing basic health care to all</w:t>
      </w:r>
    </w:p>
    <w:p w:rsidR="007D203B" w:rsidRDefault="007D203B" w:rsidP="007D203B">
      <w:pPr>
        <w:numPr>
          <w:ilvl w:val="0"/>
          <w:numId w:val="2"/>
        </w:numPr>
        <w:shd w:val="clear" w:color="auto" w:fill="FFFFFF"/>
        <w:spacing w:after="0" w:line="240" w:lineRule="auto"/>
        <w:ind w:left="0"/>
        <w:jc w:val="both"/>
        <w:rPr>
          <w:rFonts w:ascii="Helvetica" w:hAnsi="Helvetica" w:cs="Helvetica"/>
          <w:color w:val="333333"/>
          <w:sz w:val="21"/>
          <w:szCs w:val="21"/>
        </w:rPr>
      </w:pPr>
      <w:r>
        <w:rPr>
          <w:rFonts w:ascii="Helvetica" w:hAnsi="Helvetica" w:cs="Helvetica"/>
          <w:color w:val="333333"/>
          <w:sz w:val="21"/>
          <w:szCs w:val="21"/>
        </w:rPr>
        <w:t>Reform the health administration to make it accountable to the public</w:t>
      </w:r>
    </w:p>
    <w:p w:rsidR="007D203B" w:rsidRDefault="007D203B" w:rsidP="007D203B">
      <w:pPr>
        <w:shd w:val="clear" w:color="auto" w:fill="FFFFFF"/>
        <w:spacing w:after="0" w:line="240" w:lineRule="auto"/>
        <w:jc w:val="both"/>
        <w:rPr>
          <w:rFonts w:ascii="Helvetica" w:hAnsi="Helvetica" w:cs="Helvetica"/>
          <w:color w:val="333333"/>
          <w:sz w:val="21"/>
          <w:szCs w:val="21"/>
        </w:rPr>
      </w:pPr>
    </w:p>
    <w:p w:rsidR="007D203B" w:rsidRDefault="007D203B" w:rsidP="007D203B">
      <w:pPr>
        <w:shd w:val="clear" w:color="auto" w:fill="FFFFFF"/>
        <w:spacing w:after="0" w:line="240" w:lineRule="auto"/>
        <w:jc w:val="both"/>
        <w:rPr>
          <w:rFonts w:ascii="Helvetica" w:hAnsi="Helvetica" w:cs="Helvetica"/>
          <w:color w:val="333333"/>
          <w:sz w:val="21"/>
          <w:szCs w:val="21"/>
        </w:rPr>
      </w:pPr>
    </w:p>
    <w:p w:rsidR="007D203B" w:rsidRDefault="007D203B" w:rsidP="007D203B">
      <w:pPr>
        <w:pStyle w:val="Heading3"/>
        <w:shd w:val="clear" w:color="auto" w:fill="FFFFFF"/>
        <w:spacing w:after="75"/>
        <w:rPr>
          <w:color w:val="309BBE"/>
          <w:sz w:val="45"/>
          <w:szCs w:val="45"/>
        </w:rPr>
      </w:pPr>
      <w:r>
        <w:rPr>
          <w:color w:val="309BBE"/>
          <w:sz w:val="45"/>
          <w:szCs w:val="45"/>
        </w:rPr>
        <w:t>Functions</w:t>
      </w:r>
    </w:p>
    <w:p w:rsidR="007D203B" w:rsidRDefault="007D203B" w:rsidP="007D203B">
      <w:pPr>
        <w:shd w:val="clear" w:color="auto" w:fill="FFFFFF"/>
        <w:jc w:val="both"/>
        <w:rPr>
          <w:rFonts w:ascii="Helvetica" w:hAnsi="Helvetica" w:cs="Helvetica"/>
          <w:color w:val="333333"/>
          <w:sz w:val="21"/>
          <w:szCs w:val="21"/>
        </w:rPr>
      </w:pPr>
      <w:r>
        <w:rPr>
          <w:rFonts w:ascii="Helvetica" w:hAnsi="Helvetica" w:cs="Helvetica"/>
          <w:color w:val="333333"/>
          <w:sz w:val="21"/>
          <w:szCs w:val="21"/>
        </w:rPr>
        <w:t>According to Rule of Business 2016, Functions of Specialized Healthcare &amp; Medical Education Department are as under:</w:t>
      </w:r>
    </w:p>
    <w:p w:rsidR="007D203B" w:rsidRDefault="007D203B" w:rsidP="007D203B">
      <w:pPr>
        <w:numPr>
          <w:ilvl w:val="0"/>
          <w:numId w:val="3"/>
        </w:numPr>
        <w:shd w:val="clear" w:color="auto" w:fill="FFFFFF"/>
        <w:spacing w:after="0" w:line="240" w:lineRule="auto"/>
        <w:ind w:left="0"/>
        <w:jc w:val="both"/>
        <w:rPr>
          <w:rFonts w:ascii="Helvetica" w:hAnsi="Helvetica" w:cs="Helvetica"/>
          <w:color w:val="333333"/>
          <w:sz w:val="21"/>
          <w:szCs w:val="21"/>
        </w:rPr>
      </w:pPr>
      <w:r>
        <w:rPr>
          <w:rFonts w:ascii="Helvetica" w:hAnsi="Helvetica" w:cs="Helvetica"/>
          <w:color w:val="333333"/>
          <w:sz w:val="21"/>
          <w:szCs w:val="21"/>
        </w:rPr>
        <w:t>Health management, planning and policy.</w:t>
      </w:r>
    </w:p>
    <w:p w:rsidR="007D203B" w:rsidRDefault="007D203B" w:rsidP="007D203B">
      <w:pPr>
        <w:numPr>
          <w:ilvl w:val="0"/>
          <w:numId w:val="3"/>
        </w:numPr>
        <w:shd w:val="clear" w:color="auto" w:fill="FFFFFF"/>
        <w:spacing w:after="0" w:line="240" w:lineRule="auto"/>
        <w:ind w:left="0"/>
        <w:jc w:val="both"/>
        <w:rPr>
          <w:rFonts w:ascii="Helvetica" w:hAnsi="Helvetica" w:cs="Helvetica"/>
          <w:color w:val="333333"/>
          <w:sz w:val="21"/>
          <w:szCs w:val="21"/>
        </w:rPr>
      </w:pPr>
      <w:r>
        <w:rPr>
          <w:rFonts w:ascii="Helvetica" w:hAnsi="Helvetica" w:cs="Helvetica"/>
          <w:color w:val="333333"/>
          <w:sz w:val="21"/>
          <w:szCs w:val="21"/>
        </w:rPr>
        <w:t>Policy or guidelines relating to Specialized Healthcare &amp; Medical Education Department.</w:t>
      </w:r>
    </w:p>
    <w:p w:rsidR="007D203B" w:rsidRDefault="007D203B" w:rsidP="007D203B">
      <w:pPr>
        <w:numPr>
          <w:ilvl w:val="0"/>
          <w:numId w:val="3"/>
        </w:numPr>
        <w:shd w:val="clear" w:color="auto" w:fill="FFFFFF"/>
        <w:spacing w:after="0" w:line="240" w:lineRule="auto"/>
        <w:ind w:left="0"/>
        <w:jc w:val="both"/>
        <w:rPr>
          <w:rFonts w:ascii="Helvetica" w:hAnsi="Helvetica" w:cs="Helvetica"/>
          <w:color w:val="333333"/>
          <w:sz w:val="21"/>
          <w:szCs w:val="21"/>
        </w:rPr>
      </w:pPr>
      <w:r>
        <w:rPr>
          <w:rFonts w:ascii="Helvetica" w:hAnsi="Helvetica" w:cs="Helvetica"/>
          <w:color w:val="333333"/>
          <w:sz w:val="21"/>
          <w:szCs w:val="21"/>
        </w:rPr>
        <w:t>Medical profession:</w:t>
      </w:r>
    </w:p>
    <w:p w:rsidR="007D203B" w:rsidRDefault="007D203B" w:rsidP="007D203B">
      <w:pPr>
        <w:numPr>
          <w:ilvl w:val="2"/>
          <w:numId w:val="3"/>
        </w:numPr>
        <w:shd w:val="clear" w:color="auto" w:fill="FFFFFF"/>
        <w:spacing w:after="0" w:line="240" w:lineRule="auto"/>
        <w:jc w:val="both"/>
        <w:rPr>
          <w:rFonts w:ascii="Helvetica" w:hAnsi="Helvetica" w:cs="Helvetica"/>
          <w:color w:val="333333"/>
          <w:sz w:val="21"/>
          <w:szCs w:val="21"/>
        </w:rPr>
      </w:pPr>
      <w:r>
        <w:rPr>
          <w:rFonts w:ascii="Helvetica" w:hAnsi="Helvetica" w:cs="Helvetica"/>
          <w:color w:val="333333"/>
          <w:sz w:val="21"/>
          <w:szCs w:val="21"/>
        </w:rPr>
        <w:t>Regulation of medical and other professional qualifications and standards.</w:t>
      </w:r>
    </w:p>
    <w:p w:rsidR="007D203B" w:rsidRDefault="007D203B" w:rsidP="007D203B">
      <w:pPr>
        <w:numPr>
          <w:ilvl w:val="2"/>
          <w:numId w:val="3"/>
        </w:numPr>
        <w:shd w:val="clear" w:color="auto" w:fill="FFFFFF"/>
        <w:spacing w:after="0" w:line="240" w:lineRule="auto"/>
        <w:jc w:val="both"/>
        <w:rPr>
          <w:rFonts w:ascii="Helvetica" w:hAnsi="Helvetica" w:cs="Helvetica"/>
          <w:color w:val="333333"/>
          <w:sz w:val="21"/>
          <w:szCs w:val="21"/>
        </w:rPr>
      </w:pPr>
      <w:r>
        <w:rPr>
          <w:rFonts w:ascii="Helvetica" w:hAnsi="Helvetica" w:cs="Helvetica"/>
          <w:color w:val="333333"/>
          <w:sz w:val="21"/>
          <w:szCs w:val="21"/>
        </w:rPr>
        <w:t xml:space="preserve">Medical practitioners </w:t>
      </w:r>
      <w:proofErr w:type="gramStart"/>
      <w:r>
        <w:rPr>
          <w:rFonts w:ascii="Helvetica" w:hAnsi="Helvetica" w:cs="Helvetica"/>
          <w:color w:val="333333"/>
          <w:sz w:val="21"/>
          <w:szCs w:val="21"/>
        </w:rPr>
        <w:t>( National</w:t>
      </w:r>
      <w:proofErr w:type="gramEnd"/>
      <w:r>
        <w:rPr>
          <w:rFonts w:ascii="Helvetica" w:hAnsi="Helvetica" w:cs="Helvetica"/>
          <w:color w:val="333333"/>
          <w:sz w:val="21"/>
          <w:szCs w:val="21"/>
        </w:rPr>
        <w:t xml:space="preserve"> Service) Act, 1950.</w:t>
      </w:r>
    </w:p>
    <w:p w:rsidR="007D203B" w:rsidRDefault="007D203B" w:rsidP="007D203B">
      <w:pPr>
        <w:numPr>
          <w:ilvl w:val="2"/>
          <w:numId w:val="3"/>
        </w:numPr>
        <w:shd w:val="clear" w:color="auto" w:fill="FFFFFF"/>
        <w:spacing w:after="0" w:line="240" w:lineRule="auto"/>
        <w:jc w:val="both"/>
        <w:rPr>
          <w:rFonts w:ascii="Helvetica" w:hAnsi="Helvetica" w:cs="Helvetica"/>
          <w:color w:val="333333"/>
          <w:sz w:val="21"/>
          <w:szCs w:val="21"/>
        </w:rPr>
      </w:pPr>
      <w:r>
        <w:rPr>
          <w:rFonts w:ascii="Helvetica" w:hAnsi="Helvetica" w:cs="Helvetica"/>
          <w:color w:val="333333"/>
          <w:sz w:val="21"/>
          <w:szCs w:val="21"/>
        </w:rPr>
        <w:t>Medical registration including Medical and Dental Council.</w:t>
      </w:r>
    </w:p>
    <w:p w:rsidR="007D203B" w:rsidRDefault="007D203B" w:rsidP="007D203B">
      <w:pPr>
        <w:numPr>
          <w:ilvl w:val="2"/>
          <w:numId w:val="3"/>
        </w:numPr>
        <w:shd w:val="clear" w:color="auto" w:fill="FFFFFF"/>
        <w:spacing w:after="0" w:line="240" w:lineRule="auto"/>
        <w:jc w:val="both"/>
        <w:rPr>
          <w:rFonts w:ascii="Helvetica" w:hAnsi="Helvetica" w:cs="Helvetica"/>
          <w:color w:val="333333"/>
          <w:sz w:val="21"/>
          <w:szCs w:val="21"/>
        </w:rPr>
      </w:pPr>
      <w:r>
        <w:rPr>
          <w:rFonts w:ascii="Helvetica" w:hAnsi="Helvetica" w:cs="Helvetica"/>
          <w:color w:val="333333"/>
          <w:sz w:val="21"/>
          <w:szCs w:val="21"/>
        </w:rPr>
        <w:t>Medical attendance of government servants.</w:t>
      </w:r>
    </w:p>
    <w:p w:rsidR="007D203B" w:rsidRDefault="007D203B" w:rsidP="007D203B">
      <w:pPr>
        <w:numPr>
          <w:ilvl w:val="2"/>
          <w:numId w:val="3"/>
        </w:numPr>
        <w:shd w:val="clear" w:color="auto" w:fill="FFFFFF"/>
        <w:spacing w:after="0" w:line="240" w:lineRule="auto"/>
        <w:jc w:val="both"/>
        <w:rPr>
          <w:rFonts w:ascii="Helvetica" w:hAnsi="Helvetica" w:cs="Helvetica"/>
          <w:color w:val="333333"/>
          <w:sz w:val="21"/>
          <w:szCs w:val="21"/>
        </w:rPr>
      </w:pPr>
      <w:r>
        <w:rPr>
          <w:rFonts w:ascii="Helvetica" w:hAnsi="Helvetica" w:cs="Helvetica"/>
          <w:color w:val="333333"/>
          <w:sz w:val="21"/>
          <w:szCs w:val="21"/>
        </w:rPr>
        <w:t>Guidelines regarding levy of fee by medical officers.</w:t>
      </w:r>
    </w:p>
    <w:p w:rsidR="007D203B" w:rsidRDefault="007D203B" w:rsidP="007D203B">
      <w:pPr>
        <w:numPr>
          <w:ilvl w:val="2"/>
          <w:numId w:val="3"/>
        </w:numPr>
        <w:shd w:val="clear" w:color="auto" w:fill="FFFFFF"/>
        <w:spacing w:after="0" w:line="240" w:lineRule="auto"/>
        <w:jc w:val="both"/>
        <w:rPr>
          <w:rFonts w:ascii="Helvetica" w:hAnsi="Helvetica" w:cs="Helvetica"/>
          <w:color w:val="333333"/>
          <w:sz w:val="21"/>
          <w:szCs w:val="21"/>
        </w:rPr>
      </w:pPr>
      <w:r>
        <w:rPr>
          <w:rFonts w:ascii="Helvetica" w:hAnsi="Helvetica" w:cs="Helvetica"/>
          <w:color w:val="333333"/>
          <w:sz w:val="21"/>
          <w:szCs w:val="21"/>
        </w:rPr>
        <w:t xml:space="preserve">Medical Treatment of Government </w:t>
      </w:r>
      <w:proofErr w:type="gramStart"/>
      <w:r>
        <w:rPr>
          <w:rFonts w:ascii="Helvetica" w:hAnsi="Helvetica" w:cs="Helvetica"/>
          <w:color w:val="333333"/>
          <w:sz w:val="21"/>
          <w:szCs w:val="21"/>
        </w:rPr>
        <w:t>employees</w:t>
      </w:r>
      <w:proofErr w:type="gramEnd"/>
      <w:r>
        <w:rPr>
          <w:rFonts w:ascii="Helvetica" w:hAnsi="Helvetica" w:cs="Helvetica"/>
          <w:color w:val="333333"/>
          <w:sz w:val="21"/>
          <w:szCs w:val="21"/>
        </w:rPr>
        <w:t xml:space="preserve"> officers.</w:t>
      </w:r>
    </w:p>
    <w:p w:rsidR="007D203B" w:rsidRDefault="007D203B" w:rsidP="007D203B">
      <w:pPr>
        <w:numPr>
          <w:ilvl w:val="2"/>
          <w:numId w:val="3"/>
        </w:numPr>
        <w:shd w:val="clear" w:color="auto" w:fill="FFFFFF"/>
        <w:spacing w:after="0" w:line="240" w:lineRule="auto"/>
        <w:jc w:val="both"/>
        <w:rPr>
          <w:rFonts w:ascii="Helvetica" w:hAnsi="Helvetica" w:cs="Helvetica"/>
          <w:color w:val="333333"/>
          <w:sz w:val="21"/>
          <w:szCs w:val="21"/>
        </w:rPr>
      </w:pPr>
      <w:r>
        <w:rPr>
          <w:rFonts w:ascii="Helvetica" w:hAnsi="Helvetica" w:cs="Helvetica"/>
          <w:color w:val="333333"/>
          <w:sz w:val="21"/>
          <w:szCs w:val="21"/>
        </w:rPr>
        <w:t>Medical Treatment of general public.</w:t>
      </w:r>
    </w:p>
    <w:p w:rsidR="007D203B" w:rsidRDefault="007D203B" w:rsidP="007D203B">
      <w:pPr>
        <w:numPr>
          <w:ilvl w:val="0"/>
          <w:numId w:val="3"/>
        </w:numPr>
        <w:shd w:val="clear" w:color="auto" w:fill="FFFFFF"/>
        <w:spacing w:after="0" w:line="240" w:lineRule="auto"/>
        <w:ind w:left="0"/>
        <w:jc w:val="both"/>
        <w:rPr>
          <w:rFonts w:ascii="Helvetica" w:hAnsi="Helvetica" w:cs="Helvetica"/>
          <w:color w:val="333333"/>
          <w:sz w:val="21"/>
          <w:szCs w:val="21"/>
        </w:rPr>
      </w:pPr>
      <w:r>
        <w:rPr>
          <w:rFonts w:ascii="Helvetica" w:hAnsi="Helvetica" w:cs="Helvetica"/>
          <w:color w:val="333333"/>
          <w:sz w:val="21"/>
          <w:szCs w:val="21"/>
        </w:rPr>
        <w:t>Medical and Nursing Council.</w:t>
      </w:r>
    </w:p>
    <w:p w:rsidR="007D203B" w:rsidRDefault="007D203B" w:rsidP="007D203B">
      <w:pPr>
        <w:numPr>
          <w:ilvl w:val="0"/>
          <w:numId w:val="3"/>
        </w:numPr>
        <w:shd w:val="clear" w:color="auto" w:fill="FFFFFF"/>
        <w:spacing w:after="0" w:line="240" w:lineRule="auto"/>
        <w:ind w:left="0"/>
        <w:jc w:val="both"/>
        <w:rPr>
          <w:rFonts w:ascii="Helvetica" w:hAnsi="Helvetica" w:cs="Helvetica"/>
          <w:color w:val="333333"/>
          <w:sz w:val="21"/>
          <w:szCs w:val="21"/>
        </w:rPr>
      </w:pPr>
      <w:r>
        <w:rPr>
          <w:rFonts w:ascii="Helvetica" w:hAnsi="Helvetica" w:cs="Helvetica"/>
          <w:color w:val="333333"/>
          <w:sz w:val="21"/>
          <w:szCs w:val="21"/>
        </w:rPr>
        <w:t>Medical education including Medical Schools and Colleges and institution of Dentistry.</w:t>
      </w:r>
    </w:p>
    <w:p w:rsidR="007D203B" w:rsidRDefault="007D203B" w:rsidP="007D203B">
      <w:pPr>
        <w:numPr>
          <w:ilvl w:val="0"/>
          <w:numId w:val="3"/>
        </w:numPr>
        <w:shd w:val="clear" w:color="auto" w:fill="FFFFFF"/>
        <w:spacing w:after="0" w:line="240" w:lineRule="auto"/>
        <w:ind w:left="0"/>
        <w:jc w:val="both"/>
        <w:rPr>
          <w:rFonts w:ascii="Helvetica" w:hAnsi="Helvetica" w:cs="Helvetica"/>
          <w:color w:val="333333"/>
          <w:sz w:val="21"/>
          <w:szCs w:val="21"/>
        </w:rPr>
      </w:pPr>
      <w:r>
        <w:rPr>
          <w:rFonts w:ascii="Helvetica" w:hAnsi="Helvetica" w:cs="Helvetica"/>
          <w:color w:val="333333"/>
          <w:sz w:val="21"/>
          <w:szCs w:val="21"/>
        </w:rPr>
        <w:t>Medical institutions, blood transfusion services.</w:t>
      </w:r>
    </w:p>
    <w:p w:rsidR="007D203B" w:rsidRDefault="007D203B" w:rsidP="007D203B">
      <w:pPr>
        <w:numPr>
          <w:ilvl w:val="0"/>
          <w:numId w:val="3"/>
        </w:numPr>
        <w:shd w:val="clear" w:color="auto" w:fill="FFFFFF"/>
        <w:spacing w:after="0" w:line="240" w:lineRule="auto"/>
        <w:ind w:left="0"/>
        <w:jc w:val="both"/>
        <w:rPr>
          <w:rFonts w:ascii="Helvetica" w:hAnsi="Helvetica" w:cs="Helvetica"/>
          <w:color w:val="333333"/>
          <w:sz w:val="21"/>
          <w:szCs w:val="21"/>
        </w:rPr>
      </w:pPr>
      <w:r>
        <w:rPr>
          <w:rFonts w:ascii="Helvetica" w:hAnsi="Helvetica" w:cs="Helvetica"/>
          <w:color w:val="333333"/>
          <w:sz w:val="21"/>
          <w:szCs w:val="21"/>
        </w:rPr>
        <w:t>Collection, compilation, registration and analysis of vital health statistics and estimation of population for future projections.</w:t>
      </w:r>
    </w:p>
    <w:p w:rsidR="007D203B" w:rsidRDefault="007D203B" w:rsidP="007D203B">
      <w:pPr>
        <w:numPr>
          <w:ilvl w:val="0"/>
          <w:numId w:val="3"/>
        </w:numPr>
        <w:shd w:val="clear" w:color="auto" w:fill="FFFFFF"/>
        <w:spacing w:after="0" w:line="240" w:lineRule="auto"/>
        <w:ind w:left="0"/>
        <w:jc w:val="both"/>
        <w:rPr>
          <w:rFonts w:ascii="Helvetica" w:hAnsi="Helvetica" w:cs="Helvetica"/>
          <w:color w:val="333333"/>
          <w:sz w:val="21"/>
          <w:szCs w:val="21"/>
        </w:rPr>
      </w:pPr>
      <w:r>
        <w:rPr>
          <w:rFonts w:ascii="Helvetica" w:hAnsi="Helvetica" w:cs="Helvetica"/>
          <w:color w:val="333333"/>
          <w:sz w:val="21"/>
          <w:szCs w:val="21"/>
        </w:rPr>
        <w:t>Matters relating to nursing:</w:t>
      </w:r>
    </w:p>
    <w:p w:rsidR="007D203B" w:rsidRDefault="007D203B" w:rsidP="007D203B">
      <w:pPr>
        <w:numPr>
          <w:ilvl w:val="2"/>
          <w:numId w:val="3"/>
        </w:numPr>
        <w:shd w:val="clear" w:color="auto" w:fill="FFFFFF"/>
        <w:spacing w:after="0" w:line="240" w:lineRule="auto"/>
        <w:jc w:val="both"/>
        <w:rPr>
          <w:rFonts w:ascii="Helvetica" w:hAnsi="Helvetica" w:cs="Helvetica"/>
          <w:color w:val="333333"/>
          <w:sz w:val="21"/>
          <w:szCs w:val="21"/>
        </w:rPr>
      </w:pPr>
      <w:r>
        <w:rPr>
          <w:rFonts w:ascii="Helvetica" w:hAnsi="Helvetica" w:cs="Helvetica"/>
          <w:color w:val="333333"/>
          <w:sz w:val="21"/>
          <w:szCs w:val="21"/>
        </w:rPr>
        <w:t xml:space="preserve">Administrative control of the entire nursing cadre in the Province in respect of those working under the department or </w:t>
      </w:r>
      <w:proofErr w:type="gramStart"/>
      <w:r>
        <w:rPr>
          <w:rFonts w:ascii="Helvetica" w:hAnsi="Helvetica" w:cs="Helvetica"/>
          <w:color w:val="333333"/>
          <w:sz w:val="21"/>
          <w:szCs w:val="21"/>
        </w:rPr>
        <w:t>In</w:t>
      </w:r>
      <w:proofErr w:type="gramEnd"/>
      <w:r>
        <w:rPr>
          <w:rFonts w:ascii="Helvetica" w:hAnsi="Helvetica" w:cs="Helvetica"/>
          <w:color w:val="333333"/>
          <w:sz w:val="21"/>
          <w:szCs w:val="21"/>
        </w:rPr>
        <w:t xml:space="preserve"> the teaching hospitals.</w:t>
      </w:r>
    </w:p>
    <w:p w:rsidR="007D203B" w:rsidRDefault="007D203B" w:rsidP="007D203B">
      <w:pPr>
        <w:numPr>
          <w:ilvl w:val="2"/>
          <w:numId w:val="3"/>
        </w:numPr>
        <w:shd w:val="clear" w:color="auto" w:fill="FFFFFF"/>
        <w:spacing w:after="0" w:line="240" w:lineRule="auto"/>
        <w:jc w:val="both"/>
        <w:rPr>
          <w:rFonts w:ascii="Helvetica" w:hAnsi="Helvetica" w:cs="Helvetica"/>
          <w:color w:val="333333"/>
          <w:sz w:val="21"/>
          <w:szCs w:val="21"/>
        </w:rPr>
      </w:pPr>
      <w:r>
        <w:rPr>
          <w:rFonts w:ascii="Helvetica" w:hAnsi="Helvetica" w:cs="Helvetica"/>
          <w:color w:val="333333"/>
          <w:sz w:val="21"/>
          <w:szCs w:val="21"/>
        </w:rPr>
        <w:lastRenderedPageBreak/>
        <w:t xml:space="preserve">Education (local and foreign) service and pay structure of nursing </w:t>
      </w:r>
      <w:proofErr w:type="spellStart"/>
      <w:r>
        <w:rPr>
          <w:rFonts w:ascii="Helvetica" w:hAnsi="Helvetica" w:cs="Helvetica"/>
          <w:color w:val="333333"/>
          <w:sz w:val="21"/>
          <w:szCs w:val="21"/>
        </w:rPr>
        <w:t>cadre</w:t>
      </w:r>
      <w:proofErr w:type="spellEnd"/>
      <w:r>
        <w:rPr>
          <w:rFonts w:ascii="Helvetica" w:hAnsi="Helvetica" w:cs="Helvetica"/>
          <w:color w:val="333333"/>
          <w:sz w:val="21"/>
          <w:szCs w:val="21"/>
        </w:rPr>
        <w:t>.</w:t>
      </w:r>
    </w:p>
    <w:p w:rsidR="007D203B" w:rsidRDefault="007D203B" w:rsidP="007D203B">
      <w:pPr>
        <w:numPr>
          <w:ilvl w:val="0"/>
          <w:numId w:val="3"/>
        </w:numPr>
        <w:shd w:val="clear" w:color="auto" w:fill="FFFFFF"/>
        <w:spacing w:after="0" w:line="240" w:lineRule="auto"/>
        <w:ind w:left="0"/>
        <w:jc w:val="both"/>
        <w:rPr>
          <w:rFonts w:ascii="Helvetica" w:hAnsi="Helvetica" w:cs="Helvetica"/>
          <w:color w:val="333333"/>
          <w:sz w:val="21"/>
          <w:szCs w:val="21"/>
        </w:rPr>
      </w:pPr>
      <w:r>
        <w:rPr>
          <w:rFonts w:ascii="Helvetica" w:hAnsi="Helvetica" w:cs="Helvetica"/>
          <w:color w:val="333333"/>
          <w:sz w:val="21"/>
          <w:szCs w:val="21"/>
        </w:rPr>
        <w:t>Preparation of development schemes, budget, schedule of new expenditure and annual development program proposals.</w:t>
      </w:r>
    </w:p>
    <w:p w:rsidR="007D203B" w:rsidRDefault="007D203B" w:rsidP="007D203B">
      <w:pPr>
        <w:numPr>
          <w:ilvl w:val="0"/>
          <w:numId w:val="3"/>
        </w:numPr>
        <w:shd w:val="clear" w:color="auto" w:fill="FFFFFF"/>
        <w:spacing w:after="0" w:line="240" w:lineRule="auto"/>
        <w:ind w:left="0"/>
        <w:jc w:val="both"/>
        <w:rPr>
          <w:rFonts w:ascii="Helvetica" w:hAnsi="Helvetica" w:cs="Helvetica"/>
          <w:color w:val="333333"/>
          <w:sz w:val="21"/>
          <w:szCs w:val="21"/>
        </w:rPr>
      </w:pPr>
      <w:r>
        <w:rPr>
          <w:rFonts w:ascii="Helvetica" w:hAnsi="Helvetica" w:cs="Helvetica"/>
          <w:color w:val="333333"/>
          <w:sz w:val="21"/>
          <w:szCs w:val="21"/>
        </w:rPr>
        <w:t>Budget, accounts and audit matters.</w:t>
      </w:r>
    </w:p>
    <w:p w:rsidR="007D203B" w:rsidRDefault="007D203B" w:rsidP="007D203B">
      <w:pPr>
        <w:numPr>
          <w:ilvl w:val="0"/>
          <w:numId w:val="3"/>
        </w:numPr>
        <w:shd w:val="clear" w:color="auto" w:fill="FFFFFF"/>
        <w:spacing w:after="0" w:line="240" w:lineRule="auto"/>
        <w:ind w:left="0"/>
        <w:jc w:val="both"/>
        <w:rPr>
          <w:rFonts w:ascii="Helvetica" w:hAnsi="Helvetica" w:cs="Helvetica"/>
          <w:color w:val="333333"/>
          <w:sz w:val="21"/>
          <w:szCs w:val="21"/>
        </w:rPr>
      </w:pPr>
      <w:r>
        <w:rPr>
          <w:rFonts w:ascii="Helvetica" w:hAnsi="Helvetica" w:cs="Helvetica"/>
          <w:color w:val="333333"/>
          <w:sz w:val="21"/>
          <w:szCs w:val="21"/>
        </w:rPr>
        <w:t>Purchase of stores and capital goods for the department.</w:t>
      </w:r>
    </w:p>
    <w:p w:rsidR="007D203B" w:rsidRDefault="007D203B" w:rsidP="007D203B">
      <w:pPr>
        <w:numPr>
          <w:ilvl w:val="0"/>
          <w:numId w:val="3"/>
        </w:numPr>
        <w:shd w:val="clear" w:color="auto" w:fill="FFFFFF"/>
        <w:spacing w:after="0" w:line="240" w:lineRule="auto"/>
        <w:ind w:left="0"/>
        <w:jc w:val="both"/>
        <w:rPr>
          <w:rFonts w:ascii="Helvetica" w:hAnsi="Helvetica" w:cs="Helvetica"/>
          <w:color w:val="333333"/>
          <w:sz w:val="21"/>
          <w:szCs w:val="21"/>
        </w:rPr>
      </w:pPr>
      <w:r>
        <w:rPr>
          <w:rFonts w:ascii="Helvetica" w:hAnsi="Helvetica" w:cs="Helvetica"/>
          <w:color w:val="333333"/>
          <w:sz w:val="21"/>
          <w:szCs w:val="21"/>
        </w:rPr>
        <w:t>Service matters except those entrusted to Services and General Administration Department.</w:t>
      </w:r>
    </w:p>
    <w:p w:rsidR="007D203B" w:rsidRDefault="007D203B" w:rsidP="007D203B">
      <w:pPr>
        <w:numPr>
          <w:ilvl w:val="0"/>
          <w:numId w:val="3"/>
        </w:numPr>
        <w:shd w:val="clear" w:color="auto" w:fill="FFFFFF"/>
        <w:spacing w:after="0" w:line="240" w:lineRule="auto"/>
        <w:ind w:left="0"/>
        <w:jc w:val="both"/>
        <w:rPr>
          <w:rFonts w:ascii="Helvetica" w:hAnsi="Helvetica" w:cs="Helvetica"/>
          <w:color w:val="333333"/>
          <w:sz w:val="21"/>
          <w:szCs w:val="21"/>
        </w:rPr>
      </w:pPr>
      <w:r>
        <w:rPr>
          <w:rFonts w:ascii="Helvetica" w:hAnsi="Helvetica" w:cs="Helvetica"/>
          <w:color w:val="333333"/>
          <w:sz w:val="21"/>
          <w:szCs w:val="21"/>
        </w:rPr>
        <w:t>Administration of the following laws and the rules framed there-under:</w:t>
      </w:r>
    </w:p>
    <w:p w:rsidR="007D203B" w:rsidRDefault="007D203B" w:rsidP="007D203B">
      <w:pPr>
        <w:numPr>
          <w:ilvl w:val="2"/>
          <w:numId w:val="3"/>
        </w:numPr>
        <w:shd w:val="clear" w:color="auto" w:fill="FFFFFF"/>
        <w:spacing w:after="0" w:line="240" w:lineRule="auto"/>
        <w:jc w:val="both"/>
        <w:rPr>
          <w:rFonts w:ascii="Helvetica" w:hAnsi="Helvetica" w:cs="Helvetica"/>
          <w:color w:val="333333"/>
          <w:sz w:val="21"/>
          <w:szCs w:val="21"/>
        </w:rPr>
      </w:pPr>
      <w:r>
        <w:rPr>
          <w:rFonts w:ascii="Helvetica" w:hAnsi="Helvetica" w:cs="Helvetica"/>
          <w:color w:val="333333"/>
          <w:sz w:val="21"/>
          <w:szCs w:val="21"/>
        </w:rPr>
        <w:t>The Public Health (Emergency Provisions) Ordinance, 1944.</w:t>
      </w:r>
    </w:p>
    <w:p w:rsidR="007D203B" w:rsidRDefault="007D203B" w:rsidP="007D203B">
      <w:pPr>
        <w:numPr>
          <w:ilvl w:val="2"/>
          <w:numId w:val="3"/>
        </w:numPr>
        <w:shd w:val="clear" w:color="auto" w:fill="FFFFFF"/>
        <w:spacing w:after="0" w:line="240" w:lineRule="auto"/>
        <w:jc w:val="both"/>
        <w:rPr>
          <w:rFonts w:ascii="Helvetica" w:hAnsi="Helvetica" w:cs="Helvetica"/>
          <w:color w:val="333333"/>
          <w:sz w:val="21"/>
          <w:szCs w:val="21"/>
        </w:rPr>
      </w:pPr>
      <w:r>
        <w:rPr>
          <w:rFonts w:ascii="Helvetica" w:hAnsi="Helvetica" w:cs="Helvetica"/>
          <w:color w:val="333333"/>
          <w:sz w:val="21"/>
          <w:szCs w:val="21"/>
        </w:rPr>
        <w:t>Eye Surgery (Restriction) Ordinance 1960.</w:t>
      </w:r>
    </w:p>
    <w:p w:rsidR="007D203B" w:rsidRDefault="007D203B" w:rsidP="007D203B">
      <w:pPr>
        <w:numPr>
          <w:ilvl w:val="2"/>
          <w:numId w:val="3"/>
        </w:numPr>
        <w:shd w:val="clear" w:color="auto" w:fill="FFFFFF"/>
        <w:spacing w:after="0" w:line="240" w:lineRule="auto"/>
        <w:jc w:val="both"/>
        <w:rPr>
          <w:rFonts w:ascii="Helvetica" w:hAnsi="Helvetica" w:cs="Helvetica"/>
          <w:color w:val="333333"/>
          <w:sz w:val="21"/>
          <w:szCs w:val="21"/>
        </w:rPr>
      </w:pPr>
      <w:r>
        <w:rPr>
          <w:rFonts w:ascii="Helvetica" w:hAnsi="Helvetica" w:cs="Helvetica"/>
          <w:color w:val="333333"/>
          <w:sz w:val="21"/>
          <w:szCs w:val="21"/>
        </w:rPr>
        <w:t>Allopathic System (prevention of misuse) Ordinance, 1962.</w:t>
      </w:r>
    </w:p>
    <w:p w:rsidR="007D203B" w:rsidRDefault="007D203B" w:rsidP="007D203B">
      <w:pPr>
        <w:numPr>
          <w:ilvl w:val="2"/>
          <w:numId w:val="3"/>
        </w:numPr>
        <w:shd w:val="clear" w:color="auto" w:fill="FFFFFF"/>
        <w:spacing w:after="0" w:line="240" w:lineRule="auto"/>
        <w:jc w:val="both"/>
        <w:rPr>
          <w:rFonts w:ascii="Helvetica" w:hAnsi="Helvetica" w:cs="Helvetica"/>
          <w:color w:val="333333"/>
          <w:sz w:val="21"/>
          <w:szCs w:val="21"/>
        </w:rPr>
      </w:pPr>
      <w:r>
        <w:rPr>
          <w:rFonts w:ascii="Helvetica" w:hAnsi="Helvetica" w:cs="Helvetica"/>
          <w:color w:val="333333"/>
          <w:sz w:val="21"/>
          <w:szCs w:val="21"/>
        </w:rPr>
        <w:t>Pakistan Medical and Dental Council Ordinance, 1962.</w:t>
      </w:r>
    </w:p>
    <w:p w:rsidR="007D203B" w:rsidRDefault="007D203B" w:rsidP="007D203B">
      <w:pPr>
        <w:numPr>
          <w:ilvl w:val="2"/>
          <w:numId w:val="3"/>
        </w:numPr>
        <w:shd w:val="clear" w:color="auto" w:fill="FFFFFF"/>
        <w:spacing w:after="0" w:line="240" w:lineRule="auto"/>
        <w:jc w:val="both"/>
        <w:rPr>
          <w:rFonts w:ascii="Helvetica" w:hAnsi="Helvetica" w:cs="Helvetica"/>
          <w:color w:val="333333"/>
          <w:sz w:val="21"/>
          <w:szCs w:val="21"/>
        </w:rPr>
      </w:pPr>
      <w:r>
        <w:rPr>
          <w:rFonts w:ascii="Helvetica" w:hAnsi="Helvetica" w:cs="Helvetica"/>
          <w:color w:val="333333"/>
          <w:sz w:val="21"/>
          <w:szCs w:val="21"/>
        </w:rPr>
        <w:t>Pharmacy Act, 1967.</w:t>
      </w:r>
    </w:p>
    <w:p w:rsidR="007D203B" w:rsidRDefault="007D203B" w:rsidP="007D203B">
      <w:pPr>
        <w:numPr>
          <w:ilvl w:val="2"/>
          <w:numId w:val="3"/>
        </w:numPr>
        <w:shd w:val="clear" w:color="auto" w:fill="FFFFFF"/>
        <w:spacing w:after="0" w:line="240" w:lineRule="auto"/>
        <w:jc w:val="both"/>
        <w:rPr>
          <w:rFonts w:ascii="Helvetica" w:hAnsi="Helvetica" w:cs="Helvetica"/>
          <w:color w:val="333333"/>
          <w:sz w:val="21"/>
          <w:szCs w:val="21"/>
        </w:rPr>
      </w:pPr>
      <w:r>
        <w:rPr>
          <w:rFonts w:ascii="Helvetica" w:hAnsi="Helvetica" w:cs="Helvetica"/>
          <w:color w:val="333333"/>
          <w:sz w:val="21"/>
          <w:szCs w:val="21"/>
        </w:rPr>
        <w:t>The Pakistan Nursing Council Act, 1973.</w:t>
      </w:r>
    </w:p>
    <w:p w:rsidR="007D203B" w:rsidRDefault="007D203B" w:rsidP="007D203B">
      <w:pPr>
        <w:numPr>
          <w:ilvl w:val="2"/>
          <w:numId w:val="3"/>
        </w:numPr>
        <w:shd w:val="clear" w:color="auto" w:fill="FFFFFF"/>
        <w:spacing w:after="0" w:line="240" w:lineRule="auto"/>
        <w:jc w:val="both"/>
        <w:rPr>
          <w:rFonts w:ascii="Helvetica" w:hAnsi="Helvetica" w:cs="Helvetica"/>
          <w:color w:val="333333"/>
          <w:sz w:val="21"/>
          <w:szCs w:val="21"/>
        </w:rPr>
      </w:pPr>
      <w:r>
        <w:rPr>
          <w:rFonts w:ascii="Helvetica" w:hAnsi="Helvetica" w:cs="Helvetica"/>
          <w:color w:val="333333"/>
          <w:sz w:val="21"/>
          <w:szCs w:val="21"/>
        </w:rPr>
        <w:t>Drugs Act, 1976.</w:t>
      </w:r>
    </w:p>
    <w:p w:rsidR="007D203B" w:rsidRDefault="007D203B" w:rsidP="007D203B">
      <w:pPr>
        <w:numPr>
          <w:ilvl w:val="2"/>
          <w:numId w:val="3"/>
        </w:numPr>
        <w:shd w:val="clear" w:color="auto" w:fill="FFFFFF"/>
        <w:spacing w:after="0" w:line="240" w:lineRule="auto"/>
        <w:jc w:val="both"/>
        <w:rPr>
          <w:rFonts w:ascii="Helvetica" w:hAnsi="Helvetica" w:cs="Helvetica"/>
          <w:color w:val="333333"/>
          <w:sz w:val="21"/>
          <w:szCs w:val="21"/>
        </w:rPr>
      </w:pPr>
      <w:r>
        <w:rPr>
          <w:rFonts w:ascii="Helvetica" w:hAnsi="Helvetica" w:cs="Helvetica"/>
          <w:color w:val="333333"/>
          <w:sz w:val="21"/>
          <w:szCs w:val="21"/>
        </w:rPr>
        <w:t>Medical &amp; Dental Degree Ordinance 1982.</w:t>
      </w:r>
    </w:p>
    <w:p w:rsidR="007D203B" w:rsidRDefault="007D203B" w:rsidP="007D203B">
      <w:pPr>
        <w:numPr>
          <w:ilvl w:val="2"/>
          <w:numId w:val="3"/>
        </w:numPr>
        <w:shd w:val="clear" w:color="auto" w:fill="FFFFFF"/>
        <w:spacing w:after="0" w:line="240" w:lineRule="auto"/>
        <w:jc w:val="both"/>
        <w:rPr>
          <w:rFonts w:ascii="Helvetica" w:hAnsi="Helvetica" w:cs="Helvetica"/>
          <w:color w:val="333333"/>
          <w:sz w:val="21"/>
          <w:szCs w:val="21"/>
        </w:rPr>
      </w:pPr>
      <w:r>
        <w:rPr>
          <w:rFonts w:ascii="Helvetica" w:hAnsi="Helvetica" w:cs="Helvetica"/>
          <w:color w:val="333333"/>
          <w:sz w:val="21"/>
          <w:szCs w:val="21"/>
        </w:rPr>
        <w:t>Punjab Health Foundation Act, 1992.</w:t>
      </w:r>
    </w:p>
    <w:p w:rsidR="007D203B" w:rsidRDefault="007D203B" w:rsidP="007D203B">
      <w:pPr>
        <w:numPr>
          <w:ilvl w:val="2"/>
          <w:numId w:val="3"/>
        </w:numPr>
        <w:shd w:val="clear" w:color="auto" w:fill="FFFFFF"/>
        <w:spacing w:after="0" w:line="240" w:lineRule="auto"/>
        <w:jc w:val="both"/>
        <w:rPr>
          <w:rFonts w:ascii="Helvetica" w:hAnsi="Helvetica" w:cs="Helvetica"/>
          <w:color w:val="333333"/>
          <w:sz w:val="21"/>
          <w:szCs w:val="21"/>
        </w:rPr>
      </w:pPr>
      <w:r>
        <w:rPr>
          <w:rFonts w:ascii="Helvetica" w:hAnsi="Helvetica" w:cs="Helvetica"/>
          <w:color w:val="333333"/>
          <w:sz w:val="21"/>
          <w:szCs w:val="21"/>
        </w:rPr>
        <w:t>Punjab Transfusion of Safe Blood Ordinance 1999.</w:t>
      </w:r>
    </w:p>
    <w:p w:rsidR="007D203B" w:rsidRDefault="007D203B" w:rsidP="007D203B">
      <w:pPr>
        <w:numPr>
          <w:ilvl w:val="2"/>
          <w:numId w:val="3"/>
        </w:numPr>
        <w:shd w:val="clear" w:color="auto" w:fill="FFFFFF"/>
        <w:spacing w:after="0" w:line="240" w:lineRule="auto"/>
        <w:jc w:val="both"/>
        <w:rPr>
          <w:rFonts w:ascii="Helvetica" w:hAnsi="Helvetica" w:cs="Helvetica"/>
          <w:color w:val="333333"/>
          <w:sz w:val="21"/>
          <w:szCs w:val="21"/>
        </w:rPr>
      </w:pPr>
      <w:r>
        <w:rPr>
          <w:rFonts w:ascii="Helvetica" w:hAnsi="Helvetica" w:cs="Helvetica"/>
          <w:color w:val="333333"/>
          <w:sz w:val="21"/>
          <w:szCs w:val="21"/>
        </w:rPr>
        <w:t>Mental Health Ordinance for Pakistan 2001.</w:t>
      </w:r>
    </w:p>
    <w:p w:rsidR="007D203B" w:rsidRDefault="007D203B" w:rsidP="007D203B">
      <w:pPr>
        <w:numPr>
          <w:ilvl w:val="2"/>
          <w:numId w:val="3"/>
        </w:numPr>
        <w:shd w:val="clear" w:color="auto" w:fill="FFFFFF"/>
        <w:spacing w:after="0" w:line="240" w:lineRule="auto"/>
        <w:jc w:val="both"/>
        <w:rPr>
          <w:rFonts w:ascii="Helvetica" w:hAnsi="Helvetica" w:cs="Helvetica"/>
          <w:color w:val="333333"/>
          <w:sz w:val="21"/>
          <w:szCs w:val="21"/>
        </w:rPr>
      </w:pPr>
      <w:r>
        <w:rPr>
          <w:rFonts w:ascii="Helvetica" w:hAnsi="Helvetica" w:cs="Helvetica"/>
          <w:color w:val="333333"/>
          <w:sz w:val="21"/>
          <w:szCs w:val="21"/>
        </w:rPr>
        <w:t>Punjab Medical and Health Institutions Act 2003.</w:t>
      </w:r>
    </w:p>
    <w:p w:rsidR="007D203B" w:rsidRDefault="007D203B" w:rsidP="007D203B">
      <w:pPr>
        <w:numPr>
          <w:ilvl w:val="2"/>
          <w:numId w:val="3"/>
        </w:numPr>
        <w:shd w:val="clear" w:color="auto" w:fill="FFFFFF"/>
        <w:spacing w:after="0" w:line="240" w:lineRule="auto"/>
        <w:jc w:val="both"/>
        <w:rPr>
          <w:rFonts w:ascii="Helvetica" w:hAnsi="Helvetica" w:cs="Helvetica"/>
          <w:color w:val="333333"/>
          <w:sz w:val="21"/>
          <w:szCs w:val="21"/>
        </w:rPr>
      </w:pPr>
      <w:r>
        <w:rPr>
          <w:rFonts w:ascii="Helvetica" w:hAnsi="Helvetica" w:cs="Helvetica"/>
          <w:color w:val="333333"/>
          <w:sz w:val="21"/>
          <w:szCs w:val="21"/>
        </w:rPr>
        <w:t>Injured Persons (Medical Aid Act) 2004.</w:t>
      </w:r>
    </w:p>
    <w:p w:rsidR="007D203B" w:rsidRDefault="007D203B" w:rsidP="007D203B">
      <w:pPr>
        <w:numPr>
          <w:ilvl w:val="2"/>
          <w:numId w:val="3"/>
        </w:numPr>
        <w:shd w:val="clear" w:color="auto" w:fill="FFFFFF"/>
        <w:spacing w:after="0" w:line="240" w:lineRule="auto"/>
        <w:jc w:val="both"/>
        <w:rPr>
          <w:rFonts w:ascii="Helvetica" w:hAnsi="Helvetica" w:cs="Helvetica"/>
          <w:color w:val="333333"/>
          <w:sz w:val="21"/>
          <w:szCs w:val="21"/>
        </w:rPr>
      </w:pPr>
      <w:r>
        <w:rPr>
          <w:rFonts w:ascii="Helvetica" w:hAnsi="Helvetica" w:cs="Helvetica"/>
          <w:color w:val="333333"/>
          <w:sz w:val="21"/>
          <w:szCs w:val="21"/>
        </w:rPr>
        <w:t>King Edward Medical University, Lahore Act, 2005</w:t>
      </w:r>
    </w:p>
    <w:p w:rsidR="007D203B" w:rsidRDefault="007D203B" w:rsidP="007D203B">
      <w:pPr>
        <w:numPr>
          <w:ilvl w:val="2"/>
          <w:numId w:val="3"/>
        </w:numPr>
        <w:shd w:val="clear" w:color="auto" w:fill="FFFFFF"/>
        <w:spacing w:after="0" w:line="240" w:lineRule="auto"/>
        <w:jc w:val="both"/>
        <w:rPr>
          <w:rFonts w:ascii="Helvetica" w:hAnsi="Helvetica" w:cs="Helvetica"/>
          <w:color w:val="333333"/>
          <w:sz w:val="21"/>
          <w:szCs w:val="21"/>
        </w:rPr>
      </w:pPr>
      <w:r>
        <w:rPr>
          <w:rFonts w:ascii="Helvetica" w:hAnsi="Helvetica" w:cs="Helvetica"/>
          <w:color w:val="333333"/>
          <w:sz w:val="21"/>
          <w:szCs w:val="21"/>
        </w:rPr>
        <w:t>Human Organ Transplant Ordinance, 2007.</w:t>
      </w:r>
    </w:p>
    <w:p w:rsidR="007D203B" w:rsidRDefault="007D203B" w:rsidP="007D203B">
      <w:pPr>
        <w:numPr>
          <w:ilvl w:val="2"/>
          <w:numId w:val="3"/>
        </w:numPr>
        <w:shd w:val="clear" w:color="auto" w:fill="FFFFFF"/>
        <w:spacing w:after="0" w:line="240" w:lineRule="auto"/>
        <w:jc w:val="both"/>
        <w:rPr>
          <w:rFonts w:ascii="Helvetica" w:hAnsi="Helvetica" w:cs="Helvetica"/>
          <w:color w:val="333333"/>
          <w:sz w:val="21"/>
          <w:szCs w:val="21"/>
        </w:rPr>
      </w:pPr>
      <w:r>
        <w:rPr>
          <w:rFonts w:ascii="Helvetica" w:hAnsi="Helvetica" w:cs="Helvetica"/>
          <w:color w:val="333333"/>
          <w:sz w:val="21"/>
          <w:szCs w:val="21"/>
        </w:rPr>
        <w:t>Pakistan College of Physicians and Surgeons Ordinance, 1962.</w:t>
      </w:r>
    </w:p>
    <w:p w:rsidR="007D203B" w:rsidRDefault="007D203B" w:rsidP="007D203B">
      <w:pPr>
        <w:numPr>
          <w:ilvl w:val="2"/>
          <w:numId w:val="3"/>
        </w:numPr>
        <w:shd w:val="clear" w:color="auto" w:fill="FFFFFF"/>
        <w:spacing w:after="0" w:line="240" w:lineRule="auto"/>
        <w:jc w:val="both"/>
        <w:rPr>
          <w:rFonts w:ascii="Helvetica" w:hAnsi="Helvetica" w:cs="Helvetica"/>
          <w:color w:val="333333"/>
          <w:sz w:val="21"/>
          <w:szCs w:val="21"/>
        </w:rPr>
      </w:pPr>
      <w:r>
        <w:rPr>
          <w:rFonts w:ascii="Helvetica" w:hAnsi="Helvetica" w:cs="Helvetica"/>
          <w:color w:val="333333"/>
          <w:sz w:val="21"/>
          <w:szCs w:val="21"/>
        </w:rPr>
        <w:t>The University of Health Sciences Lahore Ordinance, 2002.</w:t>
      </w:r>
    </w:p>
    <w:p w:rsidR="007D203B" w:rsidRDefault="007D203B" w:rsidP="007D203B">
      <w:pPr>
        <w:numPr>
          <w:ilvl w:val="2"/>
          <w:numId w:val="3"/>
        </w:numPr>
        <w:shd w:val="clear" w:color="auto" w:fill="FFFFFF"/>
        <w:spacing w:after="0" w:line="240" w:lineRule="auto"/>
        <w:jc w:val="both"/>
        <w:rPr>
          <w:rFonts w:ascii="Helvetica" w:hAnsi="Helvetica" w:cs="Helvetica"/>
          <w:color w:val="333333"/>
          <w:sz w:val="21"/>
          <w:szCs w:val="21"/>
        </w:rPr>
      </w:pPr>
      <w:r>
        <w:rPr>
          <w:rFonts w:ascii="Helvetica" w:hAnsi="Helvetica" w:cs="Helvetica"/>
          <w:color w:val="333333"/>
          <w:sz w:val="21"/>
          <w:szCs w:val="21"/>
        </w:rPr>
        <w:t>Fatima Jinnah Medical University, Lahore Act 2015.</w:t>
      </w:r>
    </w:p>
    <w:p w:rsidR="007D203B" w:rsidRDefault="007D203B" w:rsidP="007D203B">
      <w:pPr>
        <w:numPr>
          <w:ilvl w:val="0"/>
          <w:numId w:val="3"/>
        </w:numPr>
        <w:shd w:val="clear" w:color="auto" w:fill="FFFFFF"/>
        <w:spacing w:after="0" w:line="240" w:lineRule="auto"/>
        <w:ind w:left="0"/>
        <w:jc w:val="both"/>
        <w:rPr>
          <w:rFonts w:ascii="Helvetica" w:hAnsi="Helvetica" w:cs="Helvetica"/>
          <w:color w:val="333333"/>
          <w:sz w:val="21"/>
          <w:szCs w:val="21"/>
        </w:rPr>
      </w:pPr>
      <w:r>
        <w:rPr>
          <w:rFonts w:ascii="Helvetica" w:hAnsi="Helvetica" w:cs="Helvetica"/>
          <w:color w:val="333333"/>
          <w:sz w:val="21"/>
          <w:szCs w:val="21"/>
        </w:rPr>
        <w:t>Matters incidental and ancillary to the above subjects.</w:t>
      </w:r>
    </w:p>
    <w:p w:rsidR="007D203B" w:rsidRPr="007D203B" w:rsidRDefault="007D203B" w:rsidP="007D203B">
      <w:pPr>
        <w:shd w:val="clear" w:color="auto" w:fill="FFFFFF"/>
        <w:spacing w:after="0" w:line="240" w:lineRule="auto"/>
        <w:jc w:val="both"/>
        <w:rPr>
          <w:rFonts w:ascii="Helvetica" w:hAnsi="Helvetica" w:cs="Helvetica"/>
          <w:color w:val="333333"/>
          <w:sz w:val="21"/>
          <w:szCs w:val="21"/>
        </w:rPr>
      </w:pPr>
    </w:p>
    <w:p w:rsidR="007D203B" w:rsidRDefault="007D203B" w:rsidP="007D203B">
      <w:pPr>
        <w:shd w:val="clear" w:color="auto" w:fill="FFFFFF"/>
        <w:spacing w:after="150" w:line="330" w:lineRule="atLeast"/>
        <w:rPr>
          <w:rFonts w:ascii="Calibri" w:hAnsi="Calibri" w:cs="Calibri"/>
          <w:b/>
          <w:bCs/>
          <w:color w:val="000000"/>
          <w:sz w:val="42"/>
          <w:szCs w:val="42"/>
          <w:shd w:val="clear" w:color="auto" w:fill="FFFFFF"/>
        </w:rPr>
      </w:pPr>
    </w:p>
    <w:p w:rsidR="007D203B" w:rsidRDefault="007D203B" w:rsidP="007D203B">
      <w:pPr>
        <w:shd w:val="clear" w:color="auto" w:fill="FFFFFF"/>
        <w:spacing w:after="150" w:line="330" w:lineRule="atLeast"/>
        <w:rPr>
          <w:rFonts w:ascii="Calibri" w:hAnsi="Calibri" w:cs="Calibri"/>
          <w:b/>
          <w:bCs/>
          <w:color w:val="000000"/>
          <w:sz w:val="42"/>
          <w:szCs w:val="42"/>
          <w:shd w:val="clear" w:color="auto" w:fill="FFFFFF"/>
        </w:rPr>
      </w:pPr>
    </w:p>
    <w:p w:rsidR="007D203B" w:rsidRPr="007D203B" w:rsidRDefault="007D203B" w:rsidP="007D203B">
      <w:pPr>
        <w:shd w:val="clear" w:color="auto" w:fill="FFFFFF"/>
        <w:spacing w:after="150" w:line="330" w:lineRule="atLeast"/>
        <w:rPr>
          <w:rFonts w:ascii="Calibri" w:eastAsia="Times New Roman" w:hAnsi="Calibri" w:cs="Calibri"/>
          <w:b/>
          <w:bCs/>
          <w:color w:val="000000"/>
          <w:sz w:val="42"/>
          <w:szCs w:val="42"/>
        </w:rPr>
      </w:pPr>
      <w:r w:rsidRPr="007D203B">
        <w:rPr>
          <w:rFonts w:ascii="Calibri" w:hAnsi="Calibri" w:cs="Calibri"/>
          <w:b/>
          <w:bCs/>
          <w:color w:val="000000"/>
          <w:sz w:val="42"/>
          <w:szCs w:val="42"/>
          <w:shd w:val="clear" w:color="auto" w:fill="FFFFFF"/>
        </w:rPr>
        <w:t>Ministry of National Regulations</w:t>
      </w:r>
    </w:p>
    <w:p w:rsidR="007D203B" w:rsidRPr="007D203B" w:rsidRDefault="007D203B" w:rsidP="007D203B">
      <w:pPr>
        <w:shd w:val="clear" w:color="auto" w:fill="FFFFFF"/>
        <w:spacing w:after="150" w:line="330" w:lineRule="atLeast"/>
        <w:rPr>
          <w:rFonts w:ascii="Arial" w:eastAsia="Times New Roman" w:hAnsi="Arial" w:cs="Arial"/>
          <w:color w:val="444444"/>
          <w:sz w:val="21"/>
          <w:szCs w:val="21"/>
        </w:rPr>
      </w:pPr>
      <w:r w:rsidRPr="007D203B">
        <w:rPr>
          <w:rFonts w:ascii="Calibri" w:eastAsia="Times New Roman" w:hAnsi="Calibri" w:cs="Calibri"/>
          <w:color w:val="000000"/>
        </w:rPr>
        <w:t>The Ministry of National Regulations and Services was established in April, 2012. Later on the scope of work of the ministry was expanded and its nomenclature was also changed to Ministry of National Health Services, Regulations and Coordination.</w:t>
      </w:r>
    </w:p>
    <w:p w:rsidR="007D203B" w:rsidRPr="007D203B" w:rsidRDefault="007D203B" w:rsidP="007D203B">
      <w:pPr>
        <w:shd w:val="clear" w:color="auto" w:fill="FFFFFF"/>
        <w:spacing w:after="150" w:line="330" w:lineRule="atLeast"/>
        <w:rPr>
          <w:rFonts w:ascii="Arial" w:eastAsia="Times New Roman" w:hAnsi="Arial" w:cs="Arial"/>
          <w:color w:val="444444"/>
          <w:sz w:val="21"/>
          <w:szCs w:val="21"/>
        </w:rPr>
      </w:pPr>
      <w:r w:rsidRPr="007D203B">
        <w:rPr>
          <w:rFonts w:ascii="Arial" w:eastAsia="Times New Roman" w:hAnsi="Arial" w:cs="Arial"/>
          <w:color w:val="444444"/>
          <w:sz w:val="21"/>
          <w:szCs w:val="21"/>
        </w:rPr>
        <w:t> </w:t>
      </w:r>
    </w:p>
    <w:p w:rsidR="007D203B" w:rsidRPr="007D203B" w:rsidRDefault="007D203B" w:rsidP="007D203B">
      <w:pPr>
        <w:shd w:val="clear" w:color="auto" w:fill="FFFFFF"/>
        <w:spacing w:before="300" w:after="150" w:line="240" w:lineRule="auto"/>
        <w:outlineLvl w:val="1"/>
        <w:rPr>
          <w:rFonts w:ascii="Arial" w:eastAsia="Times New Roman" w:hAnsi="Arial" w:cs="Arial"/>
          <w:b/>
          <w:bCs/>
          <w:color w:val="333333"/>
          <w:sz w:val="42"/>
          <w:szCs w:val="42"/>
        </w:rPr>
      </w:pPr>
      <w:r w:rsidRPr="007D203B">
        <w:rPr>
          <w:rFonts w:ascii="Arial" w:eastAsia="Times New Roman" w:hAnsi="Arial" w:cs="Arial"/>
          <w:b/>
          <w:bCs/>
          <w:color w:val="333333"/>
          <w:sz w:val="42"/>
          <w:szCs w:val="42"/>
        </w:rPr>
        <w:t>Mission</w:t>
      </w:r>
    </w:p>
    <w:p w:rsidR="007D203B" w:rsidRPr="007D203B" w:rsidRDefault="007D203B" w:rsidP="007D203B">
      <w:pPr>
        <w:numPr>
          <w:ilvl w:val="0"/>
          <w:numId w:val="1"/>
        </w:numPr>
        <w:shd w:val="clear" w:color="auto" w:fill="FFFFFF"/>
        <w:spacing w:before="100" w:beforeAutospacing="1" w:after="100" w:afterAutospacing="1" w:line="240" w:lineRule="auto"/>
        <w:ind w:left="1050"/>
        <w:rPr>
          <w:rFonts w:ascii="Arial" w:eastAsia="Times New Roman" w:hAnsi="Arial" w:cs="Arial"/>
          <w:color w:val="444444"/>
          <w:sz w:val="21"/>
          <w:szCs w:val="21"/>
        </w:rPr>
      </w:pPr>
      <w:r w:rsidRPr="007D203B">
        <w:rPr>
          <w:rFonts w:ascii="Arial" w:eastAsia="Times New Roman" w:hAnsi="Arial" w:cs="Arial"/>
          <w:color w:val="444444"/>
          <w:sz w:val="21"/>
          <w:szCs w:val="21"/>
        </w:rPr>
        <w:t>Ministry of National Health Services, Regulations and Coordination is committed for helping the people of Pakistan to maintain and improve their health and to make our population among the healthier in the region.</w:t>
      </w:r>
    </w:p>
    <w:p w:rsidR="007D203B" w:rsidRPr="007D203B" w:rsidRDefault="007D203B" w:rsidP="007D203B">
      <w:pPr>
        <w:shd w:val="clear" w:color="auto" w:fill="FFFFFF"/>
        <w:spacing w:before="300" w:after="150" w:line="240" w:lineRule="auto"/>
        <w:outlineLvl w:val="1"/>
        <w:rPr>
          <w:rFonts w:ascii="Arial" w:eastAsia="Times New Roman" w:hAnsi="Arial" w:cs="Arial"/>
          <w:b/>
          <w:bCs/>
          <w:color w:val="333333"/>
          <w:sz w:val="42"/>
          <w:szCs w:val="42"/>
        </w:rPr>
      </w:pPr>
      <w:r w:rsidRPr="007D203B">
        <w:rPr>
          <w:rFonts w:ascii="Arial" w:eastAsia="Times New Roman" w:hAnsi="Arial" w:cs="Arial"/>
          <w:b/>
          <w:bCs/>
          <w:color w:val="333333"/>
          <w:sz w:val="42"/>
          <w:szCs w:val="42"/>
        </w:rPr>
        <w:t>Vision</w:t>
      </w:r>
    </w:p>
    <w:p w:rsidR="007D203B" w:rsidRPr="007D203B" w:rsidRDefault="007D203B" w:rsidP="007D203B">
      <w:pPr>
        <w:shd w:val="clear" w:color="auto" w:fill="FFFFFF"/>
        <w:spacing w:after="150" w:line="330" w:lineRule="atLeast"/>
        <w:rPr>
          <w:rFonts w:ascii="Arial" w:eastAsia="Times New Roman" w:hAnsi="Arial" w:cs="Arial"/>
          <w:color w:val="444444"/>
          <w:sz w:val="21"/>
          <w:szCs w:val="21"/>
        </w:rPr>
      </w:pPr>
      <w:r w:rsidRPr="007D203B">
        <w:rPr>
          <w:rFonts w:ascii="Arial" w:eastAsia="Times New Roman" w:hAnsi="Arial" w:cs="Arial"/>
          <w:color w:val="444444"/>
          <w:sz w:val="21"/>
          <w:szCs w:val="21"/>
        </w:rPr>
        <w:lastRenderedPageBreak/>
        <w:t>Our vision is the provision of a health system that:</w:t>
      </w:r>
    </w:p>
    <w:p w:rsidR="007D203B" w:rsidRPr="007D203B" w:rsidRDefault="007D203B" w:rsidP="007D203B">
      <w:pPr>
        <w:shd w:val="clear" w:color="auto" w:fill="FFFFFF"/>
        <w:spacing w:after="150" w:line="330" w:lineRule="atLeast"/>
        <w:ind w:left="1440"/>
        <w:rPr>
          <w:rFonts w:ascii="Arial" w:eastAsia="Times New Roman" w:hAnsi="Arial" w:cs="Arial"/>
          <w:color w:val="444444"/>
          <w:sz w:val="21"/>
          <w:szCs w:val="21"/>
        </w:rPr>
      </w:pPr>
      <w:r w:rsidRPr="007D203B">
        <w:rPr>
          <w:rFonts w:ascii="Arial" w:eastAsia="Times New Roman" w:hAnsi="Arial" w:cs="Arial"/>
          <w:color w:val="444444"/>
          <w:sz w:val="21"/>
          <w:szCs w:val="21"/>
        </w:rPr>
        <w:t>•       Provides efficient, equitable, accessible &amp; affordable health services with the objective to support people and communities to improve their health status.</w:t>
      </w:r>
    </w:p>
    <w:p w:rsidR="007D203B" w:rsidRPr="007D203B" w:rsidRDefault="007D203B" w:rsidP="007D203B">
      <w:pPr>
        <w:shd w:val="clear" w:color="auto" w:fill="FFFFFF"/>
        <w:spacing w:after="150" w:line="330" w:lineRule="atLeast"/>
        <w:ind w:left="1440"/>
        <w:rPr>
          <w:rFonts w:ascii="Arial" w:eastAsia="Times New Roman" w:hAnsi="Arial" w:cs="Arial"/>
          <w:color w:val="444444"/>
          <w:sz w:val="21"/>
          <w:szCs w:val="21"/>
        </w:rPr>
      </w:pPr>
      <w:r w:rsidRPr="007D203B">
        <w:rPr>
          <w:rFonts w:ascii="Arial" w:eastAsia="Times New Roman" w:hAnsi="Arial" w:cs="Arial"/>
          <w:color w:val="444444"/>
          <w:sz w:val="21"/>
          <w:szCs w:val="21"/>
        </w:rPr>
        <w:t>•       National and International Coordination in</w:t>
      </w:r>
      <w:proofErr w:type="gramStart"/>
      <w:r w:rsidRPr="007D203B">
        <w:rPr>
          <w:rFonts w:ascii="Arial" w:eastAsia="Times New Roman" w:hAnsi="Arial" w:cs="Arial"/>
          <w:color w:val="444444"/>
          <w:sz w:val="21"/>
          <w:szCs w:val="21"/>
        </w:rPr>
        <w:t>  the</w:t>
      </w:r>
      <w:proofErr w:type="gramEnd"/>
      <w:r w:rsidRPr="007D203B">
        <w:rPr>
          <w:rFonts w:ascii="Arial" w:eastAsia="Times New Roman" w:hAnsi="Arial" w:cs="Arial"/>
          <w:color w:val="444444"/>
          <w:sz w:val="21"/>
          <w:szCs w:val="21"/>
        </w:rPr>
        <w:t xml:space="preserve"> field of  Public Health</w:t>
      </w:r>
    </w:p>
    <w:p w:rsidR="007D203B" w:rsidRPr="007D203B" w:rsidRDefault="007D203B" w:rsidP="007D203B">
      <w:pPr>
        <w:shd w:val="clear" w:color="auto" w:fill="FFFFFF"/>
        <w:spacing w:after="150" w:line="330" w:lineRule="atLeast"/>
        <w:ind w:left="1440"/>
        <w:rPr>
          <w:rFonts w:ascii="Arial" w:eastAsia="Times New Roman" w:hAnsi="Arial" w:cs="Arial"/>
          <w:color w:val="444444"/>
          <w:sz w:val="21"/>
          <w:szCs w:val="21"/>
        </w:rPr>
      </w:pPr>
      <w:r w:rsidRPr="007D203B">
        <w:rPr>
          <w:rFonts w:ascii="Arial" w:eastAsia="Times New Roman" w:hAnsi="Arial" w:cs="Arial"/>
          <w:color w:val="444444"/>
          <w:sz w:val="21"/>
          <w:szCs w:val="21"/>
        </w:rPr>
        <w:t>•       Oversight for regulatory bodies in health sector</w:t>
      </w:r>
    </w:p>
    <w:p w:rsidR="007D203B" w:rsidRPr="007D203B" w:rsidRDefault="007D203B" w:rsidP="007D203B">
      <w:pPr>
        <w:shd w:val="clear" w:color="auto" w:fill="FFFFFF"/>
        <w:spacing w:after="150" w:line="330" w:lineRule="atLeast"/>
        <w:ind w:left="1440"/>
        <w:rPr>
          <w:rFonts w:ascii="Arial" w:eastAsia="Times New Roman" w:hAnsi="Arial" w:cs="Arial"/>
          <w:color w:val="444444"/>
          <w:sz w:val="21"/>
          <w:szCs w:val="21"/>
        </w:rPr>
      </w:pPr>
      <w:r w:rsidRPr="007D203B">
        <w:rPr>
          <w:rFonts w:ascii="Arial" w:eastAsia="Times New Roman" w:hAnsi="Arial" w:cs="Arial"/>
          <w:color w:val="444444"/>
          <w:sz w:val="21"/>
          <w:szCs w:val="21"/>
        </w:rPr>
        <w:t>•       Population welfare coordination</w:t>
      </w:r>
    </w:p>
    <w:p w:rsidR="007D203B" w:rsidRPr="007D203B" w:rsidRDefault="007D203B" w:rsidP="007D203B">
      <w:pPr>
        <w:shd w:val="clear" w:color="auto" w:fill="FFFFFF"/>
        <w:spacing w:after="150" w:line="330" w:lineRule="atLeast"/>
        <w:ind w:left="1440"/>
        <w:rPr>
          <w:rFonts w:ascii="Arial" w:eastAsia="Times New Roman" w:hAnsi="Arial" w:cs="Arial"/>
          <w:color w:val="444444"/>
          <w:sz w:val="21"/>
          <w:szCs w:val="21"/>
        </w:rPr>
      </w:pPr>
      <w:r w:rsidRPr="007D203B">
        <w:rPr>
          <w:rFonts w:ascii="Arial" w:eastAsia="Times New Roman" w:hAnsi="Arial" w:cs="Arial"/>
          <w:color w:val="444444"/>
          <w:sz w:val="21"/>
          <w:szCs w:val="21"/>
        </w:rPr>
        <w:t>•       Enforcement of Drugs Laws and Regulations</w:t>
      </w:r>
    </w:p>
    <w:p w:rsidR="007D203B" w:rsidRPr="007D203B" w:rsidRDefault="007D203B" w:rsidP="007D203B">
      <w:pPr>
        <w:shd w:val="clear" w:color="auto" w:fill="FFFFFF"/>
        <w:spacing w:after="150" w:line="330" w:lineRule="atLeast"/>
        <w:ind w:left="1440"/>
        <w:rPr>
          <w:rFonts w:ascii="Arial" w:eastAsia="Times New Roman" w:hAnsi="Arial" w:cs="Arial"/>
          <w:color w:val="444444"/>
          <w:sz w:val="21"/>
          <w:szCs w:val="21"/>
        </w:rPr>
      </w:pPr>
      <w:r w:rsidRPr="007D203B">
        <w:rPr>
          <w:rFonts w:ascii="Arial" w:eastAsia="Times New Roman" w:hAnsi="Arial" w:cs="Arial"/>
          <w:color w:val="444444"/>
          <w:sz w:val="21"/>
          <w:szCs w:val="21"/>
        </w:rPr>
        <w:t>•       Coordination of all preventive programs, funded by GAVI/GFATM</w:t>
      </w:r>
    </w:p>
    <w:p w:rsidR="00450C8C" w:rsidRDefault="00450C8C"/>
    <w:sectPr w:rsidR="00450C8C" w:rsidSect="00450C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A70C7"/>
    <w:multiLevelType w:val="multilevel"/>
    <w:tmpl w:val="0A468E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6B548C"/>
    <w:multiLevelType w:val="multilevel"/>
    <w:tmpl w:val="6A40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474C62"/>
    <w:multiLevelType w:val="multilevel"/>
    <w:tmpl w:val="30D2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D203B"/>
    <w:rsid w:val="00450C8C"/>
    <w:rsid w:val="007D203B"/>
    <w:rsid w:val="00C265D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C8C"/>
  </w:style>
  <w:style w:type="paragraph" w:styleId="Heading2">
    <w:name w:val="heading 2"/>
    <w:basedOn w:val="Normal"/>
    <w:link w:val="Heading2Char"/>
    <w:uiPriority w:val="9"/>
    <w:qFormat/>
    <w:rsid w:val="007D20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D20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203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D20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D203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3411091">
      <w:bodyDiv w:val="1"/>
      <w:marLeft w:val="0"/>
      <w:marRight w:val="0"/>
      <w:marTop w:val="0"/>
      <w:marBottom w:val="0"/>
      <w:divBdr>
        <w:top w:val="none" w:sz="0" w:space="0" w:color="auto"/>
        <w:left w:val="none" w:sz="0" w:space="0" w:color="auto"/>
        <w:bottom w:val="none" w:sz="0" w:space="0" w:color="auto"/>
        <w:right w:val="none" w:sz="0" w:space="0" w:color="auto"/>
      </w:divBdr>
    </w:div>
    <w:div w:id="1054887540">
      <w:bodyDiv w:val="1"/>
      <w:marLeft w:val="0"/>
      <w:marRight w:val="0"/>
      <w:marTop w:val="0"/>
      <w:marBottom w:val="0"/>
      <w:divBdr>
        <w:top w:val="none" w:sz="0" w:space="0" w:color="auto"/>
        <w:left w:val="none" w:sz="0" w:space="0" w:color="auto"/>
        <w:bottom w:val="none" w:sz="0" w:space="0" w:color="auto"/>
        <w:right w:val="none" w:sz="0" w:space="0" w:color="auto"/>
      </w:divBdr>
    </w:div>
    <w:div w:id="1316225231">
      <w:bodyDiv w:val="1"/>
      <w:marLeft w:val="0"/>
      <w:marRight w:val="0"/>
      <w:marTop w:val="0"/>
      <w:marBottom w:val="0"/>
      <w:divBdr>
        <w:top w:val="none" w:sz="0" w:space="0" w:color="auto"/>
        <w:left w:val="none" w:sz="0" w:space="0" w:color="auto"/>
        <w:bottom w:val="none" w:sz="0" w:space="0" w:color="auto"/>
        <w:right w:val="none" w:sz="0" w:space="0" w:color="auto"/>
      </w:divBdr>
    </w:div>
    <w:div w:id="1362047612">
      <w:bodyDiv w:val="1"/>
      <w:marLeft w:val="0"/>
      <w:marRight w:val="0"/>
      <w:marTop w:val="0"/>
      <w:marBottom w:val="0"/>
      <w:divBdr>
        <w:top w:val="none" w:sz="0" w:space="0" w:color="auto"/>
        <w:left w:val="none" w:sz="0" w:space="0" w:color="auto"/>
        <w:bottom w:val="none" w:sz="0" w:space="0" w:color="auto"/>
        <w:right w:val="none" w:sz="0" w:space="0" w:color="auto"/>
      </w:divBdr>
    </w:div>
    <w:div w:id="1618174406">
      <w:bodyDiv w:val="1"/>
      <w:marLeft w:val="0"/>
      <w:marRight w:val="0"/>
      <w:marTop w:val="0"/>
      <w:marBottom w:val="0"/>
      <w:divBdr>
        <w:top w:val="none" w:sz="0" w:space="0" w:color="auto"/>
        <w:left w:val="none" w:sz="0" w:space="0" w:color="auto"/>
        <w:bottom w:val="none" w:sz="0" w:space="0" w:color="auto"/>
        <w:right w:val="none" w:sz="0" w:space="0" w:color="auto"/>
      </w:divBdr>
      <w:divsChild>
        <w:div w:id="1281915061">
          <w:marLeft w:val="0"/>
          <w:marRight w:val="0"/>
          <w:marTop w:val="0"/>
          <w:marBottom w:val="0"/>
          <w:divBdr>
            <w:top w:val="none" w:sz="0" w:space="0" w:color="auto"/>
            <w:left w:val="none" w:sz="0" w:space="0" w:color="auto"/>
            <w:bottom w:val="none" w:sz="0" w:space="0" w:color="auto"/>
            <w:right w:val="none" w:sz="0" w:space="0" w:color="auto"/>
          </w:divBdr>
          <w:divsChild>
            <w:div w:id="9196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2020-05-02T18:54:00Z</dcterms:created>
  <dcterms:modified xsi:type="dcterms:W3CDTF">2020-05-02T19:06:00Z</dcterms:modified>
</cp:coreProperties>
</file>