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9B" w:rsidRPr="002A759B" w:rsidRDefault="002A759B" w:rsidP="002A759B">
      <w:pPr>
        <w:shd w:val="clear" w:color="auto" w:fill="FFFFFF"/>
        <w:spacing w:beforeAutospacing="1" w:after="0" w:afterAutospacing="1" w:line="408" w:lineRule="atLeast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Nitrogen is quantitatively the most essential nutrient for plants and a major limiting factor in plant productivity. The major form of inorganic nitrogen that is available for the growth of rice plants in paddy soil is the ammonium ion (NH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 ammonia (NH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3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gas molecule is a weak base that protonates rapidly to form the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 with a dissociation constant of 10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−9.25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(</w:t>
      </w:r>
      <w:hyperlink r:id="rId5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Kleiner, 1981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According to the equation proposed by </w:t>
      </w:r>
      <w:hyperlink r:id="rId6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Freney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 (1985)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99.4% of the total ammonia in water is in the protonated form at pH 7.0 and 25 °C, and the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 is the major molecular species in paddy soil, as well as in most of the compartments of rice plants. On the other hand, excess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can apparently be toxic to some plants (</w:t>
      </w:r>
      <w:hyperlink r:id="rId7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Kronzucker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Thus, efficient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transport and subsequent assimilation systems should be highly regulated within the roots. The major forms of nitrogen in the xylem sap of rice plants are Gln and Asn (</w:t>
      </w:r>
      <w:hyperlink r:id="rId8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Fukumorita and Chino, 1982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Real-time monitoring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transport by the positron emitting tracer imaging system (PETIS) showed that the signals of 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13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N taken up by rice roots were detected in the basal part of shoots within a short period, but the translocation was completely inhibited by methionine sulphoximine, an inhibitor of glutamine synthetase (GS) (</w:t>
      </w:r>
      <w:hyperlink r:id="rId9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Kiyomiya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These results strongly suggest that most of the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taken up by the roots can be assimilated within the organ by the reaction catalysed by GS. Since the discovery of the GS/glutamate synthetase (GOGAT) cycle by </w:t>
      </w:r>
      <w:hyperlink r:id="rId10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Lea and Miflin (1974)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it is now well established that this cycle is the only route for the primary assimilation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in plants grown under normal conditions (</w:t>
      </w:r>
      <w:hyperlink r:id="rId11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Ireland and Lea, 1999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; </w:t>
      </w:r>
      <w:hyperlink r:id="rId12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Lea and Miflin, 2003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</w:t>
      </w:r>
    </w:p>
    <w:p w:rsidR="002A759B" w:rsidRPr="002A759B" w:rsidRDefault="002A759B" w:rsidP="002A759B">
      <w:pPr>
        <w:shd w:val="clear" w:color="auto" w:fill="FFFFFF"/>
        <w:spacing w:beforeAutospacing="1" w:after="0" w:afterAutospacing="1" w:line="408" w:lineRule="atLeast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In the top part of japonica rice, approximately 80% of the total nitrogen in the panicle arises from remobilization through the phloem from senescing organs (</w:t>
      </w:r>
      <w:hyperlink r:id="rId13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Mae and Ohira, 1981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 major forms of nitrogen in the phloem sap are again Gln and Asn (</w:t>
      </w:r>
      <w:hyperlink r:id="rId14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Hayashi and Chino, 1990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 synthesis of Gln in senescing organs is the essential step for this dynamic nitrogen recycling, as Asn is synthesized by the transfer of an amide group from Gln (</w:t>
      </w:r>
      <w:hyperlink r:id="rId15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2007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In developing sink organs, the remobilized Gln is reutilized for many biosynthetic reactions, via the GS/GOGAT pathway (</w:t>
      </w:r>
      <w:hyperlink r:id="rId16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Lea and Miflin, 2003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which is mostly responsible for the metabolism of Gln in rice (</w:t>
      </w:r>
      <w:hyperlink r:id="rId17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Tobin and Yamaya, 2001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</w:t>
      </w:r>
    </w:p>
    <w:p w:rsidR="002A759B" w:rsidRPr="002A759B" w:rsidRDefault="002A759B" w:rsidP="002A759B">
      <w:pPr>
        <w:shd w:val="clear" w:color="auto" w:fill="FFFFFF"/>
        <w:spacing w:beforeAutospacing="1" w:after="0" w:afterAutospacing="1" w:line="408" w:lineRule="atLeast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As in other plants (</w:t>
      </w:r>
      <w:hyperlink r:id="rId18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Ireland and Lea, 1999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; </w:t>
      </w:r>
      <w:hyperlink r:id="rId19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Yamaya and Oaks, 2004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a small gene family has been identified that encodes GS1 (</w:t>
      </w:r>
      <w:hyperlink r:id="rId20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Ishiyama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2004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b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; </w:t>
      </w:r>
      <w:hyperlink r:id="rId21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Tabuchi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2005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and NADH-GOGAT (M Tabuchi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et al.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unpublished results) in rice, in addition to the major species of GS2 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and ferredoxin (Fd)-GOGAT in the chloroplasts of green tissues of this plant. These are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and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OsGS1;3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and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OsNADH-GOGAT1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and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OsNADH-GOGAT2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. It has been shown that the expression profile of each gene was different in terms of age and tissue specificity, and response to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suggesting that each gene product apparently has a distinct function in rice. As discussed in earlier reviews, the major function of GS2 and Fd-GOGAT in chloroplasts is in photorespiratory nitrogen metabolism (</w:t>
      </w:r>
      <w:hyperlink r:id="rId22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Lea and Miflin, 2003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and other GS/GOGAT species are important for normal growth and development (</w:t>
      </w:r>
      <w:hyperlink r:id="rId23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Yamaya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2002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; </w:t>
      </w:r>
      <w:hyperlink r:id="rId24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Yamaya and Oaks, 2004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This is because mutants lacking either GS2 or Fd-GOGAT (</w:t>
      </w:r>
      <w:hyperlink r:id="rId25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Wallsgrove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1987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; </w:t>
      </w:r>
      <w:hyperlink r:id="rId26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Kendall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1986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; </w:t>
      </w:r>
      <w:hyperlink r:id="rId27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Leegood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1995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were able to grow normally under non-photorespiratory conditions.</w:t>
      </w:r>
    </w:p>
    <w:p w:rsidR="002A759B" w:rsidRPr="002A759B" w:rsidRDefault="002A759B" w:rsidP="002A759B">
      <w:pPr>
        <w:shd w:val="clear" w:color="auto" w:fill="FFFFFF"/>
        <w:spacing w:beforeAutospacing="1" w:after="0" w:afterAutospacing="1" w:line="408" w:lineRule="atLeast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In this review, the functions of GS1 and NADH-GOGAT isoenzymes in rice are discussed. Because some of these genes are up- or down-regulated by exogenous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supply, possible mechanisms of the regulation are also discussed.</w:t>
      </w:r>
    </w:p>
    <w:p w:rsidR="002A759B" w:rsidRPr="002A759B" w:rsidRDefault="002A759B" w:rsidP="002A759B">
      <w:pPr>
        <w:pBdr>
          <w:bottom w:val="single" w:sz="6" w:space="3" w:color="CFD5E4"/>
        </w:pBd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A2A2A"/>
          <w:sz w:val="36"/>
          <w:szCs w:val="36"/>
        </w:rPr>
      </w:pPr>
      <w:r w:rsidRPr="002A759B">
        <w:rPr>
          <w:rFonts w:ascii="Arial" w:eastAsia="Times New Roman" w:hAnsi="Arial" w:cs="Arial"/>
          <w:b/>
          <w:bCs/>
          <w:color w:val="2A2A2A"/>
          <w:sz w:val="36"/>
          <w:szCs w:val="36"/>
        </w:rPr>
        <w:t>GS1;2 and NADH-GOGAT1 could be key players in the assimilation of NH</w:t>
      </w:r>
      <w:r w:rsidRPr="002A759B">
        <w:rPr>
          <w:rFonts w:ascii="inherit" w:eastAsia="Times New Roman" w:hAnsi="inherit" w:cs="Arial"/>
          <w:color w:val="2A2A2A"/>
          <w:sz w:val="29"/>
          <w:szCs w:val="29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29"/>
          <w:szCs w:val="29"/>
          <w:bdr w:val="none" w:sz="0" w:space="0" w:color="auto" w:frame="1"/>
          <w:vertAlign w:val="superscript"/>
        </w:rPr>
        <w:t>+</w:t>
      </w:r>
      <w:r w:rsidRPr="002A759B">
        <w:rPr>
          <w:rFonts w:ascii="Arial" w:eastAsia="Times New Roman" w:hAnsi="Arial" w:cs="Arial"/>
          <w:b/>
          <w:bCs/>
          <w:color w:val="2A2A2A"/>
          <w:sz w:val="36"/>
          <w:szCs w:val="36"/>
        </w:rPr>
        <w:t> taken up by rice roots</w:t>
      </w:r>
    </w:p>
    <w:p w:rsidR="002A759B" w:rsidRPr="002A759B" w:rsidRDefault="002A759B" w:rsidP="002A759B">
      <w:pPr>
        <w:shd w:val="clear" w:color="auto" w:fill="FFFFFF"/>
        <w:spacing w:beforeAutospacing="1" w:after="0" w:afterAutospacing="1" w:line="408" w:lineRule="atLeast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Rice is able to take up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 when grown in a paddy field, through the action of ammonium transporters (AMTs). </w:t>
      </w:r>
      <w:hyperlink r:id="rId28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Ninnemann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 (1994)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first identified a gene encoding a high-affinity AMT from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Arabidopsis thaliana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(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AtAMT1;1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using functional complementation of a yeast mutant defective in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uptake. Since then, the isolation of AMT1 homologues from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Arabidopsis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(</w:t>
      </w:r>
      <w:hyperlink r:id="rId29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Gazzarrini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1999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tomato (</w:t>
      </w:r>
      <w:hyperlink r:id="rId30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von Wirén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2000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and rice (</w:t>
      </w:r>
      <w:hyperlink r:id="rId31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Sonoda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2003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a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has shown that the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AMT1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family in plants consists of at least three to five members. In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Arabidopsis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(</w:t>
      </w:r>
      <w:hyperlink r:id="rId32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Sohlenkamp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2000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and rice (</w:t>
      </w:r>
      <w:hyperlink r:id="rId33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Suenaga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2003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several genes with high homology to bacterial AMT and yeast AMTs (methylammonium permease: MEP) were also identified (</w:t>
      </w:r>
      <w:hyperlink r:id="rId34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Lea and Azevedo, 2006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Expression of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genes in rice showed distinct profiles, i.e. root-specific and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-inducible expression for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constitutive expression in roots and shoots for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and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OsAMT2;1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and root-specific and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-derepressed expression for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OsAMT1;3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. The up-regulation of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gene expression occurred as rapidly as 30 min following the supply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ions, when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-responsive expression was observed in specific cell types in the root tips, for example exodermis, sclerenchyma, endodermis, and pericycle 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(</w:t>
      </w:r>
      <w:hyperlink r:id="rId35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Sonoda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2003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a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There are two Casparian strips in rice roots, (i) between the exodermis and sclerenchyma and (ii) in the endodermis, requiring a symplastic system for solute transport in these regions (</w:t>
      </w:r>
      <w:hyperlink r:id="rId36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Morita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1996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 AMT1;2 protein could be responsible for cell-to-cell transport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ions. Pharmacological studies suggested that the up-regulation of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OsAMT1;2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gene expression was caused by Gln rather than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 (</w:t>
      </w:r>
      <w:hyperlink r:id="rId37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Sonoda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2003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b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), as in the case of up-regulation of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OsNADH-GOGAT1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in rice roots (</w:t>
      </w:r>
      <w:hyperlink r:id="rId38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Hirose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1997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It seems likely that OsAMT1;2 mainly functions in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uptake from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-enriched soils. On the other hand, OsAMT1;3, which is down-regulated by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may be present to support OsAMT1;1 in taking up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ions, when the availability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in the soil is low.</w:t>
      </w:r>
    </w:p>
    <w:p w:rsidR="002A759B" w:rsidRPr="002A759B" w:rsidRDefault="002A759B" w:rsidP="002A759B">
      <w:pPr>
        <w:shd w:val="clear" w:color="auto" w:fill="FFFFFF"/>
        <w:spacing w:beforeAutospacing="1" w:after="0" w:afterAutospacing="1" w:line="408" w:lineRule="atLeast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Among the three GS1 genes in rice,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was expressed in all organs, i.e. root, leaf blade, leaf sheath, and spikelet, with higher expression in the leaf blade during the vegetative stage of growth of the plants (</w:t>
      </w:r>
      <w:hyperlink r:id="rId39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Tabuchi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2005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transcripts were also detected in all organs, with higher expression in the root following the supply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at the seedling stage, while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OsGS1;3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was specifically expressed in the spikelet (</w:t>
      </w:r>
      <w:hyperlink r:id="rId40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Fig. 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The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and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transcripts showed reciprocal responses to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supply in the surface cell layers of roots (</w:t>
      </w:r>
      <w:hyperlink r:id="rId41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Ishiyama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2004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a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Transcripts of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accumulated in the dermatogen, epidermis, and exodermis under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-limited condition. In contrast,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OsGS1;2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was abundantly expressed in the same cell layers under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-sufficient conditions, replenishing the loss of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OsGS1;1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, 3–6 h after the supply of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ions. Within the central cylinder of the root elongation zone, both genes were up-regulated by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. The kinetic properties of OsGS1;1 and OsGS1;2 that had been purified from the recombinant proteins overexpressed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Escherichia coli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showed that both enzymes could be classified as high-affinity subtypes for NH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4</w:t>
      </w:r>
      <w:r w:rsidRPr="002A759B">
        <w:rPr>
          <w:rFonts w:ascii="Arial" w:eastAsia="Times New Roman" w:hAnsi="Arial" w:cs="Arial"/>
          <w:color w:val="2A2A2A"/>
          <w:sz w:val="17"/>
          <w:szCs w:val="17"/>
          <w:bdr w:val="none" w:sz="0" w:space="0" w:color="auto" w:frame="1"/>
          <w:vertAlign w:val="superscript"/>
        </w:rPr>
        <w:t>+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ions (</w:t>
      </w:r>
      <w:hyperlink r:id="rId42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Ishiyama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2004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a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 with relatively high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V</w:t>
      </w:r>
      <w:r w:rsidRPr="002A759B">
        <w:rPr>
          <w:rFonts w:ascii="inherit" w:eastAsia="Times New Roman" w:hAnsi="inherit" w:cs="Times New Roman"/>
          <w:color w:val="2A2A2A"/>
          <w:sz w:val="17"/>
          <w:szCs w:val="17"/>
          <w:bdr w:val="none" w:sz="0" w:space="0" w:color="auto" w:frame="1"/>
          <w:vertAlign w:val="subscript"/>
        </w:rPr>
        <w:t>max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values, as compared with the major high-affinity isoenzyme in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Arabidopsis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(</w:t>
      </w:r>
      <w:hyperlink r:id="rId43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Ishiyama 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et al.</w:t>
        </w:r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, 2004</w:t>
        </w:r>
        <w:r w:rsidRPr="002A759B">
          <w:rPr>
            <w:rFonts w:ascii="inherit" w:eastAsia="Times New Roman" w:hAnsi="inherit" w:cs="Times New Roman"/>
            <w:i/>
            <w:iCs/>
            <w:color w:val="006FB7"/>
            <w:sz w:val="24"/>
            <w:szCs w:val="24"/>
            <w:bdr w:val="none" w:sz="0" w:space="0" w:color="auto" w:frame="1"/>
          </w:rPr>
          <w:t>b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 Low-affinity forms of GS1 seen in </w:t>
      </w:r>
      <w:r w:rsidRPr="002A759B">
        <w:rPr>
          <w:rFonts w:ascii="inherit" w:eastAsia="Times New Roman" w:hAnsi="inherit" w:cs="Times New Roman"/>
          <w:i/>
          <w:iCs/>
          <w:color w:val="2A2A2A"/>
          <w:sz w:val="24"/>
          <w:szCs w:val="24"/>
          <w:bdr w:val="none" w:sz="0" w:space="0" w:color="auto" w:frame="1"/>
        </w:rPr>
        <w:t>Arabidopsis</w:t>
      </w:r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 were absent in rice roots (</w:t>
      </w:r>
      <w:hyperlink r:id="rId44" w:history="1">
        <w:r w:rsidRPr="002A759B">
          <w:rPr>
            <w:rFonts w:ascii="Times New Roman" w:eastAsia="Times New Roman" w:hAnsi="Times New Roman" w:cs="Times New Roman"/>
            <w:color w:val="006FB7"/>
            <w:sz w:val="24"/>
            <w:szCs w:val="24"/>
            <w:u w:val="single"/>
            <w:bdr w:val="none" w:sz="0" w:space="0" w:color="auto" w:frame="1"/>
          </w:rPr>
          <w:t>Table 1</w:t>
        </w:r>
      </w:hyperlink>
      <w:r w:rsidRPr="002A759B">
        <w:rPr>
          <w:rFonts w:ascii="Times New Roman" w:eastAsia="Times New Roman" w:hAnsi="Times New Roman" w:cs="Times New Roman"/>
          <w:color w:val="2A2A2A"/>
          <w:sz w:val="24"/>
          <w:szCs w:val="24"/>
        </w:rPr>
        <w:t>).</w:t>
      </w:r>
    </w:p>
    <w:tbl>
      <w:tblPr>
        <w:tblW w:w="8970" w:type="dxa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1"/>
        <w:gridCol w:w="1281"/>
        <w:gridCol w:w="1281"/>
        <w:gridCol w:w="1281"/>
      </w:tblGrid>
      <w:tr w:rsidR="002A759B" w:rsidRPr="002A759B" w:rsidTr="002A759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5F7FA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5F7FA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5F7FA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</w:tr>
      <w:tr w:rsidR="002A759B" w:rsidRPr="002A759B" w:rsidTr="002A759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</w:tbl>
    <w:p w:rsidR="002A759B" w:rsidRPr="002A759B" w:rsidRDefault="002A759B" w:rsidP="002A7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7"/>
          <w:szCs w:val="27"/>
        </w:rPr>
      </w:pPr>
      <w:r w:rsidRPr="002A759B">
        <w:rPr>
          <w:rFonts w:ascii="Arial" w:eastAsia="Times New Roman" w:hAnsi="Arial" w:cs="Arial"/>
          <w:b/>
          <w:bCs/>
          <w:color w:val="2A2A2A"/>
          <w:sz w:val="27"/>
          <w:szCs w:val="27"/>
          <w:bdr w:val="none" w:sz="0" w:space="0" w:color="auto" w:frame="1"/>
        </w:rPr>
        <w:t>Table 1.</w:t>
      </w:r>
    </w:p>
    <w:p w:rsidR="002A759B" w:rsidRPr="002A759B" w:rsidRDefault="002A759B" w:rsidP="002A759B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A2A2A"/>
          <w:sz w:val="27"/>
          <w:szCs w:val="27"/>
        </w:rPr>
      </w:pPr>
      <w:r w:rsidRPr="002A759B">
        <w:rPr>
          <w:rFonts w:ascii="inherit" w:eastAsia="Times New Roman" w:hAnsi="inherit" w:cs="Arial"/>
          <w:color w:val="2A2A2A"/>
          <w:sz w:val="27"/>
          <w:szCs w:val="27"/>
        </w:rPr>
        <w:t>Kinetic properties of the GS1 isoenzymes in </w:t>
      </w:r>
      <w:r w:rsidRPr="002A759B">
        <w:rPr>
          <w:rFonts w:ascii="inherit" w:eastAsia="Times New Roman" w:hAnsi="inherit" w:cs="Arial"/>
          <w:i/>
          <w:iCs/>
          <w:color w:val="2A2A2A"/>
          <w:sz w:val="27"/>
          <w:szCs w:val="27"/>
          <w:bdr w:val="none" w:sz="0" w:space="0" w:color="auto" w:frame="1"/>
        </w:rPr>
        <w:t>Arabidopsis</w:t>
      </w:r>
      <w:r w:rsidRPr="002A759B">
        <w:rPr>
          <w:rFonts w:ascii="inherit" w:eastAsia="Times New Roman" w:hAnsi="inherit" w:cs="Arial"/>
          <w:color w:val="2A2A2A"/>
          <w:sz w:val="27"/>
          <w:szCs w:val="27"/>
        </w:rPr>
        <w:t> and rice</w:t>
      </w:r>
    </w:p>
    <w:tbl>
      <w:tblPr>
        <w:tblW w:w="9435" w:type="dxa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098"/>
        <w:gridCol w:w="1426"/>
        <w:gridCol w:w="1337"/>
        <w:gridCol w:w="1456"/>
        <w:gridCol w:w="1456"/>
        <w:gridCol w:w="1456"/>
      </w:tblGrid>
      <w:tr w:rsidR="002A759B" w:rsidRPr="002A759B" w:rsidTr="002A759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5F7FA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Isoenzyme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5F7FA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</w:t>
            </w:r>
            <w:r w:rsidRPr="002A759B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vertAlign w:val="subscript"/>
              </w:rPr>
              <w:t>m</w:t>
            </w: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5F7FA"/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V</w:t>
            </w:r>
            <w:r w:rsidRPr="002A759B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vertAlign w:val="subscript"/>
              </w:rPr>
              <w:t>max</w:t>
            </w: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 (nkat mg</w:t>
            </w:r>
            <w:r w:rsidRPr="002A759B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perscript"/>
              </w:rPr>
              <w:t>−1</w:t>
            </w: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 protein) </w:t>
            </w:r>
          </w:p>
        </w:tc>
      </w:tr>
      <w:tr w:rsidR="002A759B" w:rsidRPr="002A759B" w:rsidTr="002A759B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Glu (mM)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NH</w:t>
            </w:r>
            <w:r w:rsidRPr="002A759B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2A759B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perscript"/>
              </w:rPr>
              <w:t>+</w:t>
            </w: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 (μM)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ATP (μM)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Glu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NH</w:t>
            </w:r>
            <w:r w:rsidRPr="002A759B">
              <w:rPr>
                <w:rFonts w:ascii="inherit" w:eastAsia="Times New Roman" w:hAnsi="inherit" w:cs="Arial"/>
                <w:sz w:val="17"/>
                <w:szCs w:val="17"/>
                <w:bdr w:val="none" w:sz="0" w:space="0" w:color="auto" w:frame="1"/>
                <w:vertAlign w:val="subscript"/>
              </w:rPr>
              <w:t>4</w:t>
            </w:r>
            <w:r w:rsidRPr="002A759B">
              <w:rPr>
                <w:rFonts w:ascii="Arial" w:eastAsia="Times New Roman" w:hAnsi="Arial" w:cs="Arial"/>
                <w:sz w:val="17"/>
                <w:szCs w:val="17"/>
                <w:bdr w:val="none" w:sz="0" w:space="0" w:color="auto" w:frame="1"/>
                <w:vertAlign w:val="superscript"/>
              </w:rPr>
              <w:t>+</w:t>
            </w: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  <w:t>ATP) </w:t>
            </w: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OsGS1;1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1.9±0.0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27±5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450±20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190.0±12.3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186.3±18.4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170.2±15.1 </w:t>
            </w: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OsGS1;2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2.1±0.0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73±2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530±80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97.4±9.0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98.1±1.7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109.1±14.8 </w:t>
            </w: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AtGS1;1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1.1±0.4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&lt;10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300±20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29.3±1.6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27.4±0.7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21.4±0.4 </w:t>
            </w: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AtGS1;2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3.8±0.2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2450±150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1100±140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65.7±0.2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65.7±1.1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66.6±4.4 </w:t>
            </w: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AtGS1;3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3.9±0.1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1210±40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850±30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162±24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93.9±10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100.0±0.04 </w:t>
            </w:r>
          </w:p>
        </w:tc>
      </w:tr>
      <w:tr w:rsidR="002A759B" w:rsidRPr="002A759B" w:rsidTr="002A759B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AtGS1;4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0.6±0.1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48±6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400±50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79.2±1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65.7±1.5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  <w:vAlign w:val="bottom"/>
            <w:hideMark/>
          </w:tcPr>
          <w:p w:rsidR="002A759B" w:rsidRPr="002A759B" w:rsidRDefault="002A759B" w:rsidP="002A759B">
            <w:pPr>
              <w:spacing w:after="0" w:line="312" w:lineRule="atLeast"/>
              <w:rPr>
                <w:rFonts w:ascii="inherit" w:eastAsia="Times New Roman" w:hAnsi="inherit" w:cs="Arial"/>
                <w:sz w:val="24"/>
                <w:szCs w:val="24"/>
              </w:rPr>
            </w:pPr>
            <w:r w:rsidRPr="002A759B">
              <w:rPr>
                <w:rFonts w:ascii="inherit" w:eastAsia="Times New Roman" w:hAnsi="inherit" w:cs="Arial"/>
                <w:sz w:val="24"/>
                <w:szCs w:val="24"/>
              </w:rPr>
              <w:t>73.9±4.2 </w:t>
            </w:r>
          </w:p>
        </w:tc>
      </w:tr>
    </w:tbl>
    <w:p w:rsidR="002A759B" w:rsidRPr="002A759B" w:rsidRDefault="002A759B" w:rsidP="002A759B">
      <w:pPr>
        <w:shd w:val="clear" w:color="auto" w:fill="FFFFFF"/>
        <w:spacing w:after="180" w:line="360" w:lineRule="atLeast"/>
        <w:textAlignment w:val="baseline"/>
        <w:rPr>
          <w:rFonts w:ascii="inherit" w:eastAsia="Times New Roman" w:hAnsi="inherit" w:cs="Arial"/>
          <w:color w:val="2A2A2A"/>
          <w:sz w:val="27"/>
          <w:szCs w:val="27"/>
        </w:rPr>
      </w:pPr>
      <w:r w:rsidRPr="002A759B">
        <w:rPr>
          <w:rFonts w:ascii="inherit" w:eastAsia="Times New Roman" w:hAnsi="inherit" w:cs="Arial"/>
          <w:color w:val="2A2A2A"/>
          <w:sz w:val="27"/>
          <w:szCs w:val="27"/>
        </w:rPr>
        <w:t>Results for rice (OsGS1;1 and 1;2) and </w:t>
      </w:r>
      <w:r w:rsidRPr="002A759B">
        <w:rPr>
          <w:rFonts w:ascii="inherit" w:eastAsia="Times New Roman" w:hAnsi="inherit" w:cs="Arial"/>
          <w:i/>
          <w:iCs/>
          <w:color w:val="2A2A2A"/>
          <w:sz w:val="27"/>
          <w:szCs w:val="27"/>
          <w:bdr w:val="none" w:sz="0" w:space="0" w:color="auto" w:frame="1"/>
        </w:rPr>
        <w:t>Arabidopsis thaliana</w:t>
      </w:r>
      <w:r w:rsidRPr="002A759B">
        <w:rPr>
          <w:rFonts w:ascii="inherit" w:eastAsia="Times New Roman" w:hAnsi="inherit" w:cs="Arial"/>
          <w:color w:val="2A2A2A"/>
          <w:sz w:val="27"/>
          <w:szCs w:val="27"/>
        </w:rPr>
        <w:t> (AtGS1;1 to 1;4) were adapted from </w:t>
      </w:r>
      <w:hyperlink r:id="rId45" w:history="1">
        <w:r w:rsidRPr="002A759B">
          <w:rPr>
            <w:rFonts w:ascii="inherit" w:eastAsia="Times New Roman" w:hAnsi="inherit" w:cs="Arial"/>
            <w:color w:val="006FB7"/>
            <w:sz w:val="27"/>
            <w:szCs w:val="27"/>
            <w:u w:val="single"/>
            <w:bdr w:val="none" w:sz="0" w:space="0" w:color="auto" w:frame="1"/>
          </w:rPr>
          <w:t>Ishiyama </w:t>
        </w:r>
        <w:r w:rsidRPr="002A759B">
          <w:rPr>
            <w:rFonts w:ascii="inherit" w:eastAsia="Times New Roman" w:hAnsi="inherit" w:cs="Arial"/>
            <w:i/>
            <w:iCs/>
            <w:color w:val="006FB7"/>
            <w:sz w:val="27"/>
            <w:szCs w:val="27"/>
            <w:bdr w:val="none" w:sz="0" w:space="0" w:color="auto" w:frame="1"/>
          </w:rPr>
          <w:t>et al.</w:t>
        </w:r>
        <w:r w:rsidRPr="002A759B">
          <w:rPr>
            <w:rFonts w:ascii="inherit" w:eastAsia="Times New Roman" w:hAnsi="inherit" w:cs="Arial"/>
            <w:color w:val="006FB7"/>
            <w:sz w:val="27"/>
            <w:szCs w:val="27"/>
            <w:u w:val="single"/>
            <w:bdr w:val="none" w:sz="0" w:space="0" w:color="auto" w:frame="1"/>
          </w:rPr>
          <w:t> (2004</w:t>
        </w:r>
        <w:r w:rsidRPr="002A759B">
          <w:rPr>
            <w:rFonts w:ascii="inherit" w:eastAsia="Times New Roman" w:hAnsi="inherit" w:cs="Arial"/>
            <w:i/>
            <w:iCs/>
            <w:color w:val="006FB7"/>
            <w:sz w:val="27"/>
            <w:szCs w:val="27"/>
            <w:bdr w:val="none" w:sz="0" w:space="0" w:color="auto" w:frame="1"/>
          </w:rPr>
          <w:t>a</w:t>
        </w:r>
        <w:r w:rsidRPr="002A759B">
          <w:rPr>
            <w:rFonts w:ascii="inherit" w:eastAsia="Times New Roman" w:hAnsi="inherit" w:cs="Arial"/>
            <w:color w:val="006FB7"/>
            <w:sz w:val="27"/>
            <w:szCs w:val="27"/>
            <w:u w:val="single"/>
            <w:bdr w:val="none" w:sz="0" w:space="0" w:color="auto" w:frame="1"/>
          </w:rPr>
          <w:t>)</w:t>
        </w:r>
      </w:hyperlink>
      <w:r w:rsidRPr="002A759B">
        <w:rPr>
          <w:rFonts w:ascii="inherit" w:eastAsia="Times New Roman" w:hAnsi="inherit" w:cs="Arial"/>
          <w:color w:val="2A2A2A"/>
          <w:sz w:val="27"/>
          <w:szCs w:val="27"/>
        </w:rPr>
        <w:t> and </w:t>
      </w:r>
      <w:hyperlink r:id="rId46" w:history="1">
        <w:r w:rsidRPr="002A759B">
          <w:rPr>
            <w:rFonts w:ascii="inherit" w:eastAsia="Times New Roman" w:hAnsi="inherit" w:cs="Arial"/>
            <w:color w:val="006FB7"/>
            <w:sz w:val="27"/>
            <w:szCs w:val="27"/>
            <w:u w:val="single"/>
            <w:bdr w:val="none" w:sz="0" w:space="0" w:color="auto" w:frame="1"/>
          </w:rPr>
          <w:t>Ishiyama </w:t>
        </w:r>
        <w:r w:rsidRPr="002A759B">
          <w:rPr>
            <w:rFonts w:ascii="inherit" w:eastAsia="Times New Roman" w:hAnsi="inherit" w:cs="Arial"/>
            <w:i/>
            <w:iCs/>
            <w:color w:val="006FB7"/>
            <w:sz w:val="27"/>
            <w:szCs w:val="27"/>
            <w:bdr w:val="none" w:sz="0" w:space="0" w:color="auto" w:frame="1"/>
          </w:rPr>
          <w:t>et al.</w:t>
        </w:r>
        <w:r w:rsidRPr="002A759B">
          <w:rPr>
            <w:rFonts w:ascii="inherit" w:eastAsia="Times New Roman" w:hAnsi="inherit" w:cs="Arial"/>
            <w:color w:val="006FB7"/>
            <w:sz w:val="27"/>
            <w:szCs w:val="27"/>
            <w:u w:val="single"/>
            <w:bdr w:val="none" w:sz="0" w:space="0" w:color="auto" w:frame="1"/>
          </w:rPr>
          <w:t> (2004</w:t>
        </w:r>
        <w:r w:rsidRPr="002A759B">
          <w:rPr>
            <w:rFonts w:ascii="inherit" w:eastAsia="Times New Roman" w:hAnsi="inherit" w:cs="Arial"/>
            <w:i/>
            <w:iCs/>
            <w:color w:val="006FB7"/>
            <w:sz w:val="27"/>
            <w:szCs w:val="27"/>
            <w:bdr w:val="none" w:sz="0" w:space="0" w:color="auto" w:frame="1"/>
          </w:rPr>
          <w:t>b</w:t>
        </w:r>
        <w:r w:rsidRPr="002A759B">
          <w:rPr>
            <w:rFonts w:ascii="inherit" w:eastAsia="Times New Roman" w:hAnsi="inherit" w:cs="Arial"/>
            <w:color w:val="006FB7"/>
            <w:sz w:val="27"/>
            <w:szCs w:val="27"/>
            <w:u w:val="single"/>
            <w:bdr w:val="none" w:sz="0" w:space="0" w:color="auto" w:frame="1"/>
          </w:rPr>
          <w:t>)</w:t>
        </w:r>
      </w:hyperlink>
      <w:r w:rsidRPr="002A759B">
        <w:rPr>
          <w:rFonts w:ascii="inherit" w:eastAsia="Times New Roman" w:hAnsi="inherit" w:cs="Arial"/>
          <w:color w:val="2A2A2A"/>
          <w:sz w:val="27"/>
          <w:szCs w:val="27"/>
        </w:rPr>
        <w:t>, respectively. Purified recombinant enzymes were used for the assay. Kinetic values for the GS synthetic activities were determined by Eadie–Hofstee equations. One katal of enzyme activity is defined as 1 mol of Gln synthesized per second at 30 °C. Data are means ±SE (</w:t>
      </w:r>
      <w:r w:rsidRPr="002A759B">
        <w:rPr>
          <w:rFonts w:ascii="inherit" w:eastAsia="Times New Roman" w:hAnsi="inherit" w:cs="Arial"/>
          <w:i/>
          <w:iCs/>
          <w:color w:val="2A2A2A"/>
          <w:sz w:val="27"/>
          <w:szCs w:val="27"/>
          <w:bdr w:val="none" w:sz="0" w:space="0" w:color="auto" w:frame="1"/>
        </w:rPr>
        <w:t>n</w:t>
      </w:r>
      <w:r w:rsidRPr="002A759B">
        <w:rPr>
          <w:rFonts w:ascii="inherit" w:eastAsia="Times New Roman" w:hAnsi="inherit" w:cs="Arial"/>
          <w:color w:val="2A2A2A"/>
          <w:sz w:val="27"/>
          <w:szCs w:val="27"/>
        </w:rPr>
        <w:t>=3).</w:t>
      </w:r>
    </w:p>
    <w:p w:rsidR="005E37E8" w:rsidRDefault="005E37E8">
      <w:bookmarkStart w:id="0" w:name="_GoBack"/>
      <w:bookmarkEnd w:id="0"/>
    </w:p>
    <w:sectPr w:rsidR="005E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E"/>
    <w:rsid w:val="002A759B"/>
    <w:rsid w:val="005E37E8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7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5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pter-para">
    <w:name w:val="chapter-para"/>
    <w:basedOn w:val="Normal"/>
    <w:rsid w:val="002A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5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759B"/>
    <w:rPr>
      <w:i/>
      <w:iCs/>
    </w:rPr>
  </w:style>
  <w:style w:type="character" w:customStyle="1" w:styleId="label">
    <w:name w:val="label"/>
    <w:basedOn w:val="DefaultParagraphFont"/>
    <w:rsid w:val="002A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7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5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pter-para">
    <w:name w:val="chapter-para"/>
    <w:basedOn w:val="Normal"/>
    <w:rsid w:val="002A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5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759B"/>
    <w:rPr>
      <w:i/>
      <w:iCs/>
    </w:rPr>
  </w:style>
  <w:style w:type="character" w:customStyle="1" w:styleId="label">
    <w:name w:val="label"/>
    <w:basedOn w:val="DefaultParagraphFont"/>
    <w:rsid w:val="002A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67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668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6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3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21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</dc:creator>
  <cp:keywords/>
  <dc:description/>
  <cp:lastModifiedBy>MMJ</cp:lastModifiedBy>
  <cp:revision>2</cp:revision>
  <dcterms:created xsi:type="dcterms:W3CDTF">2020-05-03T17:08:00Z</dcterms:created>
  <dcterms:modified xsi:type="dcterms:W3CDTF">2020-05-03T17:08:00Z</dcterms:modified>
</cp:coreProperties>
</file>