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589" w:rsidRPr="00F92533" w:rsidRDefault="006823F6">
      <w:pPr>
        <w:rPr>
          <w:rFonts w:asciiTheme="majorHAnsi" w:hAnsiTheme="majorHAnsi" w:cs="Segoe UI"/>
          <w:color w:val="212529"/>
          <w:sz w:val="28"/>
          <w:szCs w:val="28"/>
          <w:shd w:val="clear" w:color="auto" w:fill="FFFFFF"/>
          <w:vertAlign w:val="superscript"/>
        </w:rPr>
      </w:pPr>
      <w:r w:rsidRPr="00F92533">
        <w:rPr>
          <w:rFonts w:asciiTheme="majorHAnsi" w:hAnsiTheme="majorHAnsi" w:cs="Segoe UI"/>
          <w:color w:val="212529"/>
          <w:sz w:val="28"/>
          <w:szCs w:val="28"/>
          <w:shd w:val="clear" w:color="auto" w:fill="FFFFFF"/>
          <w:vertAlign w:val="superscript"/>
        </w:rPr>
        <w:t>Accounting rate of return (also known as simple rate of return) is the ratio of estimated accounting profit of a project to the average investment made in the project. ARR is used in investment appraisal.</w:t>
      </w:r>
    </w:p>
    <w:p w:rsidR="006823F6" w:rsidRPr="006823F6" w:rsidRDefault="006823F6" w:rsidP="006823F6">
      <w:pPr>
        <w:shd w:val="clear" w:color="auto" w:fill="FFFFFF"/>
        <w:spacing w:after="100" w:afterAutospacing="1" w:line="240" w:lineRule="auto"/>
        <w:outlineLvl w:val="1"/>
        <w:rPr>
          <w:rFonts w:asciiTheme="majorHAnsi" w:eastAsia="Times New Roman" w:hAnsiTheme="majorHAnsi" w:cs="Segoe UI"/>
          <w:color w:val="212529"/>
          <w:sz w:val="28"/>
          <w:szCs w:val="28"/>
          <w:vertAlign w:val="superscript"/>
        </w:rPr>
      </w:pPr>
      <w:r w:rsidRPr="006823F6">
        <w:rPr>
          <w:rFonts w:asciiTheme="majorHAnsi" w:eastAsia="Times New Roman" w:hAnsiTheme="majorHAnsi" w:cs="Segoe UI"/>
          <w:color w:val="212529"/>
          <w:sz w:val="28"/>
          <w:szCs w:val="28"/>
          <w:vertAlign w:val="superscript"/>
        </w:rPr>
        <w:t>Formula</w:t>
      </w:r>
    </w:p>
    <w:p w:rsidR="006823F6" w:rsidRPr="006823F6" w:rsidRDefault="006823F6" w:rsidP="006823F6">
      <w:pPr>
        <w:shd w:val="clear" w:color="auto" w:fill="FFFFFF"/>
        <w:spacing w:after="100" w:afterAutospacing="1" w:line="240" w:lineRule="auto"/>
        <w:rPr>
          <w:rFonts w:asciiTheme="majorHAnsi" w:eastAsia="Times New Roman" w:hAnsiTheme="majorHAnsi" w:cs="Segoe UI"/>
          <w:color w:val="212529"/>
          <w:sz w:val="28"/>
          <w:szCs w:val="28"/>
          <w:vertAlign w:val="superscript"/>
        </w:rPr>
      </w:pPr>
      <w:r w:rsidRPr="006823F6">
        <w:rPr>
          <w:rFonts w:asciiTheme="majorHAnsi" w:eastAsia="Times New Roman" w:hAnsiTheme="majorHAnsi" w:cs="Segoe UI"/>
          <w:color w:val="212529"/>
          <w:sz w:val="28"/>
          <w:szCs w:val="28"/>
          <w:vertAlign w:val="superscript"/>
        </w:rPr>
        <w:t>Accounting Rate of Return is calculated using the following formula:</w:t>
      </w:r>
    </w:p>
    <w:tbl>
      <w:tblPr>
        <w:tblW w:w="0" w:type="auto"/>
        <w:shd w:val="clear" w:color="auto" w:fill="FFFFFF"/>
        <w:tblCellMar>
          <w:top w:w="15" w:type="dxa"/>
          <w:left w:w="15" w:type="dxa"/>
          <w:bottom w:w="15" w:type="dxa"/>
          <w:right w:w="15" w:type="dxa"/>
        </w:tblCellMar>
        <w:tblLook w:val="04A0"/>
      </w:tblPr>
      <w:tblGrid>
        <w:gridCol w:w="545"/>
        <w:gridCol w:w="2044"/>
      </w:tblGrid>
      <w:tr w:rsidR="006823F6" w:rsidRPr="006823F6" w:rsidTr="006823F6">
        <w:tc>
          <w:tcPr>
            <w:tcW w:w="0" w:type="auto"/>
            <w:vMerge w:val="restart"/>
            <w:shd w:val="clear" w:color="auto" w:fill="FFFFFF"/>
            <w:vAlign w:val="center"/>
            <w:hideMark/>
          </w:tcPr>
          <w:p w:rsidR="006823F6" w:rsidRPr="006823F6" w:rsidRDefault="006823F6" w:rsidP="006823F6">
            <w:pPr>
              <w:spacing w:after="0" w:line="240" w:lineRule="auto"/>
              <w:rPr>
                <w:rFonts w:asciiTheme="majorHAnsi" w:eastAsia="Times New Roman" w:hAnsiTheme="majorHAnsi" w:cs="Segoe UI"/>
                <w:color w:val="212529"/>
                <w:sz w:val="28"/>
                <w:szCs w:val="28"/>
                <w:vertAlign w:val="superscript"/>
              </w:rPr>
            </w:pPr>
            <w:r w:rsidRPr="006823F6">
              <w:rPr>
                <w:rFonts w:asciiTheme="majorHAnsi" w:eastAsia="Times New Roman" w:hAnsiTheme="majorHAnsi" w:cs="Segoe UI"/>
                <w:color w:val="212529"/>
                <w:sz w:val="28"/>
                <w:szCs w:val="28"/>
                <w:vertAlign w:val="superscript"/>
              </w:rPr>
              <w:t>ARR = </w:t>
            </w:r>
          </w:p>
        </w:tc>
        <w:tc>
          <w:tcPr>
            <w:tcW w:w="0" w:type="auto"/>
            <w:shd w:val="clear" w:color="auto" w:fill="FFFFFF"/>
            <w:vAlign w:val="center"/>
            <w:hideMark/>
          </w:tcPr>
          <w:p w:rsidR="006823F6" w:rsidRPr="006823F6" w:rsidRDefault="006823F6" w:rsidP="006823F6">
            <w:pPr>
              <w:spacing w:after="0" w:line="240" w:lineRule="auto"/>
              <w:jc w:val="center"/>
              <w:rPr>
                <w:rFonts w:asciiTheme="majorHAnsi" w:eastAsia="Times New Roman" w:hAnsiTheme="majorHAnsi" w:cs="Segoe UI"/>
                <w:color w:val="212529"/>
                <w:sz w:val="28"/>
                <w:szCs w:val="28"/>
                <w:vertAlign w:val="superscript"/>
              </w:rPr>
            </w:pPr>
            <w:r w:rsidRPr="006823F6">
              <w:rPr>
                <w:rFonts w:asciiTheme="majorHAnsi" w:eastAsia="Times New Roman" w:hAnsiTheme="majorHAnsi" w:cs="Segoe UI"/>
                <w:color w:val="212529"/>
                <w:sz w:val="28"/>
                <w:szCs w:val="28"/>
                <w:vertAlign w:val="superscript"/>
              </w:rPr>
              <w:t>Average Accounting Profit</w:t>
            </w:r>
          </w:p>
        </w:tc>
      </w:tr>
      <w:tr w:rsidR="006823F6" w:rsidRPr="006823F6" w:rsidTr="006823F6">
        <w:tc>
          <w:tcPr>
            <w:tcW w:w="0" w:type="auto"/>
            <w:vMerge/>
            <w:shd w:val="clear" w:color="auto" w:fill="FFFFFF"/>
            <w:vAlign w:val="center"/>
            <w:hideMark/>
          </w:tcPr>
          <w:p w:rsidR="006823F6" w:rsidRPr="006823F6" w:rsidRDefault="006823F6" w:rsidP="006823F6">
            <w:pPr>
              <w:spacing w:after="0" w:line="240" w:lineRule="auto"/>
              <w:rPr>
                <w:rFonts w:asciiTheme="majorHAnsi" w:eastAsia="Times New Roman" w:hAnsiTheme="majorHAnsi" w:cs="Segoe UI"/>
                <w:color w:val="212529"/>
                <w:sz w:val="28"/>
                <w:szCs w:val="28"/>
                <w:vertAlign w:val="superscript"/>
              </w:rPr>
            </w:pPr>
          </w:p>
        </w:tc>
        <w:tc>
          <w:tcPr>
            <w:tcW w:w="0" w:type="auto"/>
            <w:tcBorders>
              <w:top w:val="single" w:sz="4" w:space="0" w:color="494949"/>
            </w:tcBorders>
            <w:shd w:val="clear" w:color="auto" w:fill="FFFFFF"/>
            <w:vAlign w:val="center"/>
            <w:hideMark/>
          </w:tcPr>
          <w:p w:rsidR="006823F6" w:rsidRPr="006823F6" w:rsidRDefault="006823F6" w:rsidP="006823F6">
            <w:pPr>
              <w:spacing w:after="0" w:line="240" w:lineRule="auto"/>
              <w:jc w:val="center"/>
              <w:rPr>
                <w:rFonts w:asciiTheme="majorHAnsi" w:eastAsia="Times New Roman" w:hAnsiTheme="majorHAnsi" w:cs="Segoe UI"/>
                <w:color w:val="212529"/>
                <w:sz w:val="28"/>
                <w:szCs w:val="28"/>
                <w:vertAlign w:val="superscript"/>
              </w:rPr>
            </w:pPr>
            <w:r w:rsidRPr="006823F6">
              <w:rPr>
                <w:rFonts w:asciiTheme="majorHAnsi" w:eastAsia="Times New Roman" w:hAnsiTheme="majorHAnsi" w:cs="Segoe UI"/>
                <w:color w:val="212529"/>
                <w:sz w:val="28"/>
                <w:szCs w:val="28"/>
                <w:vertAlign w:val="superscript"/>
              </w:rPr>
              <w:t>Average Investment</w:t>
            </w:r>
          </w:p>
        </w:tc>
      </w:tr>
    </w:tbl>
    <w:p w:rsidR="00F92533" w:rsidRDefault="00F92533" w:rsidP="006823F6">
      <w:pPr>
        <w:shd w:val="clear" w:color="auto" w:fill="FFFFFF"/>
        <w:spacing w:after="100" w:afterAutospacing="1" w:line="240" w:lineRule="auto"/>
        <w:rPr>
          <w:rFonts w:asciiTheme="majorHAnsi" w:eastAsia="Times New Roman" w:hAnsiTheme="majorHAnsi" w:cs="Segoe UI"/>
          <w:color w:val="212529"/>
          <w:sz w:val="28"/>
          <w:szCs w:val="28"/>
          <w:vertAlign w:val="superscript"/>
        </w:rPr>
      </w:pPr>
      <w:r>
        <w:rPr>
          <w:rFonts w:asciiTheme="majorHAnsi" w:eastAsia="Times New Roman" w:hAnsiTheme="majorHAnsi" w:cs="Segoe UI"/>
          <w:color w:val="212529"/>
          <w:sz w:val="28"/>
          <w:szCs w:val="28"/>
          <w:vertAlign w:val="superscript"/>
        </w:rPr>
        <w:t xml:space="preserve"> </w:t>
      </w:r>
    </w:p>
    <w:p w:rsidR="00F92533" w:rsidRDefault="00F92533" w:rsidP="006823F6">
      <w:pPr>
        <w:shd w:val="clear" w:color="auto" w:fill="FFFFFF"/>
        <w:spacing w:after="100" w:afterAutospacing="1" w:line="240" w:lineRule="auto"/>
        <w:rPr>
          <w:rFonts w:asciiTheme="majorHAnsi" w:eastAsia="Times New Roman" w:hAnsiTheme="majorHAnsi" w:cs="Segoe UI"/>
          <w:color w:val="212529"/>
          <w:sz w:val="28"/>
          <w:szCs w:val="28"/>
          <w:vertAlign w:val="superscript"/>
        </w:rPr>
      </w:pPr>
      <w:r>
        <w:rPr>
          <w:rFonts w:asciiTheme="majorHAnsi" w:eastAsia="Times New Roman" w:hAnsiTheme="majorHAnsi" w:cs="Segoe UI"/>
          <w:color w:val="212529"/>
          <w:sz w:val="28"/>
          <w:szCs w:val="28"/>
          <w:vertAlign w:val="superscript"/>
        </w:rPr>
        <w:tab/>
        <w:t>OR</w:t>
      </w:r>
    </w:p>
    <w:tbl>
      <w:tblPr>
        <w:tblW w:w="0" w:type="auto"/>
        <w:shd w:val="clear" w:color="auto" w:fill="FFFFFF"/>
        <w:tblCellMar>
          <w:top w:w="15" w:type="dxa"/>
          <w:left w:w="15" w:type="dxa"/>
          <w:bottom w:w="15" w:type="dxa"/>
          <w:right w:w="15" w:type="dxa"/>
        </w:tblCellMar>
        <w:tblLook w:val="04A0"/>
      </w:tblPr>
      <w:tblGrid>
        <w:gridCol w:w="2315"/>
      </w:tblGrid>
      <w:tr w:rsidR="00F92533" w:rsidRPr="006823F6" w:rsidTr="009169C6">
        <w:tc>
          <w:tcPr>
            <w:tcW w:w="0" w:type="auto"/>
            <w:shd w:val="clear" w:color="auto" w:fill="FFFFFF"/>
            <w:vAlign w:val="center"/>
            <w:hideMark/>
          </w:tcPr>
          <w:p w:rsidR="00F92533" w:rsidRPr="006823F6" w:rsidRDefault="00F92533" w:rsidP="009169C6">
            <w:pPr>
              <w:spacing w:after="0" w:line="240" w:lineRule="auto"/>
              <w:jc w:val="center"/>
              <w:rPr>
                <w:rFonts w:asciiTheme="majorHAnsi" w:eastAsia="Times New Roman" w:hAnsiTheme="majorHAnsi" w:cs="Segoe UI"/>
                <w:color w:val="212529"/>
                <w:sz w:val="28"/>
                <w:szCs w:val="28"/>
                <w:vertAlign w:val="superscript"/>
              </w:rPr>
            </w:pPr>
            <w:r w:rsidRPr="006823F6">
              <w:rPr>
                <w:rFonts w:asciiTheme="majorHAnsi" w:eastAsia="Times New Roman" w:hAnsiTheme="majorHAnsi" w:cs="Segoe UI"/>
                <w:color w:val="212529"/>
                <w:sz w:val="28"/>
                <w:szCs w:val="28"/>
                <w:vertAlign w:val="superscript"/>
              </w:rPr>
              <w:t>Accounting Profit</w:t>
            </w:r>
          </w:p>
        </w:tc>
      </w:tr>
      <w:tr w:rsidR="00F92533" w:rsidRPr="006823F6" w:rsidTr="009169C6">
        <w:tc>
          <w:tcPr>
            <w:tcW w:w="0" w:type="auto"/>
            <w:tcBorders>
              <w:top w:val="single" w:sz="4" w:space="0" w:color="494949"/>
            </w:tcBorders>
            <w:shd w:val="clear" w:color="auto" w:fill="FFFFFF"/>
            <w:vAlign w:val="center"/>
            <w:hideMark/>
          </w:tcPr>
          <w:p w:rsidR="00F92533" w:rsidRPr="006823F6" w:rsidRDefault="00F92533" w:rsidP="009169C6">
            <w:pPr>
              <w:spacing w:after="0" w:line="240" w:lineRule="auto"/>
              <w:jc w:val="center"/>
              <w:rPr>
                <w:rFonts w:asciiTheme="majorHAnsi" w:eastAsia="Times New Roman" w:hAnsiTheme="majorHAnsi" w:cs="Segoe UI"/>
                <w:color w:val="212529"/>
                <w:sz w:val="28"/>
                <w:szCs w:val="28"/>
                <w:vertAlign w:val="superscript"/>
              </w:rPr>
            </w:pPr>
            <w:r>
              <w:rPr>
                <w:rFonts w:asciiTheme="majorHAnsi" w:eastAsia="Times New Roman" w:hAnsiTheme="majorHAnsi" w:cs="Segoe UI"/>
                <w:color w:val="212529"/>
                <w:sz w:val="28"/>
                <w:szCs w:val="28"/>
                <w:vertAlign w:val="superscript"/>
              </w:rPr>
              <w:t>Initial Investment</w:t>
            </w:r>
            <w:r w:rsidRPr="006823F6">
              <w:rPr>
                <w:rFonts w:asciiTheme="majorHAnsi" w:eastAsia="Times New Roman" w:hAnsiTheme="majorHAnsi" w:cs="Segoe UI"/>
                <w:color w:val="212529"/>
                <w:sz w:val="28"/>
                <w:szCs w:val="28"/>
                <w:vertAlign w:val="superscript"/>
              </w:rPr>
              <w:t xml:space="preserve"> Investment</w:t>
            </w:r>
          </w:p>
        </w:tc>
      </w:tr>
    </w:tbl>
    <w:p w:rsidR="00F92533" w:rsidRDefault="00F92533" w:rsidP="006823F6">
      <w:pPr>
        <w:shd w:val="clear" w:color="auto" w:fill="FFFFFF"/>
        <w:spacing w:after="100" w:afterAutospacing="1" w:line="240" w:lineRule="auto"/>
        <w:rPr>
          <w:rFonts w:asciiTheme="majorHAnsi" w:eastAsia="Times New Roman" w:hAnsiTheme="majorHAnsi" w:cs="Segoe UI"/>
          <w:color w:val="212529"/>
          <w:sz w:val="28"/>
          <w:szCs w:val="28"/>
          <w:vertAlign w:val="superscript"/>
        </w:rPr>
      </w:pPr>
    </w:p>
    <w:p w:rsidR="006823F6" w:rsidRPr="006823F6" w:rsidRDefault="006823F6" w:rsidP="006823F6">
      <w:pPr>
        <w:shd w:val="clear" w:color="auto" w:fill="FFFFFF"/>
        <w:spacing w:after="100" w:afterAutospacing="1" w:line="240" w:lineRule="auto"/>
        <w:rPr>
          <w:rFonts w:asciiTheme="majorHAnsi" w:eastAsia="Times New Roman" w:hAnsiTheme="majorHAnsi" w:cs="Segoe UI"/>
          <w:color w:val="212529"/>
          <w:sz w:val="28"/>
          <w:szCs w:val="28"/>
          <w:vertAlign w:val="superscript"/>
        </w:rPr>
      </w:pPr>
      <w:r w:rsidRPr="006823F6">
        <w:rPr>
          <w:rFonts w:asciiTheme="majorHAnsi" w:eastAsia="Times New Roman" w:hAnsiTheme="majorHAnsi" w:cs="Segoe UI"/>
          <w:color w:val="212529"/>
          <w:sz w:val="28"/>
          <w:szCs w:val="28"/>
          <w:vertAlign w:val="superscript"/>
        </w:rPr>
        <w:t>Average accounting profit is the arithmetic mean of accounting income expected to be earned during each year of the project's life time. Average investment may be calculated as the sum of the beginning and ending book value of the project divided by 2. Another variation of ARR formula uses initial investment instead of average investment</w:t>
      </w:r>
    </w:p>
    <w:p w:rsidR="006823F6" w:rsidRPr="00F92533" w:rsidRDefault="006823F6" w:rsidP="006823F6">
      <w:pPr>
        <w:pStyle w:val="Heading2"/>
        <w:shd w:val="clear" w:color="auto" w:fill="FFFFFF"/>
        <w:spacing w:before="0" w:beforeAutospacing="0"/>
        <w:rPr>
          <w:rFonts w:asciiTheme="majorHAnsi" w:hAnsiTheme="majorHAnsi" w:cs="Segoe UI"/>
          <w:b w:val="0"/>
          <w:bCs w:val="0"/>
          <w:color w:val="212529"/>
          <w:sz w:val="28"/>
          <w:szCs w:val="28"/>
          <w:vertAlign w:val="superscript"/>
        </w:rPr>
      </w:pPr>
      <w:r w:rsidRPr="00F92533">
        <w:rPr>
          <w:rFonts w:asciiTheme="majorHAnsi" w:hAnsiTheme="majorHAnsi" w:cs="Segoe UI"/>
          <w:b w:val="0"/>
          <w:bCs w:val="0"/>
          <w:color w:val="212529"/>
          <w:sz w:val="28"/>
          <w:szCs w:val="28"/>
          <w:vertAlign w:val="superscript"/>
        </w:rPr>
        <w:t>Decision Rule</w:t>
      </w:r>
    </w:p>
    <w:p w:rsidR="006823F6" w:rsidRPr="00F92533" w:rsidRDefault="006823F6" w:rsidP="006823F6">
      <w:pPr>
        <w:pStyle w:val="NormalWeb"/>
        <w:shd w:val="clear" w:color="auto" w:fill="FFFFFF"/>
        <w:spacing w:before="0" w:beforeAutospacing="0"/>
        <w:rPr>
          <w:rFonts w:asciiTheme="majorHAnsi" w:hAnsiTheme="majorHAnsi" w:cs="Segoe UI"/>
          <w:color w:val="212529"/>
          <w:sz w:val="28"/>
          <w:szCs w:val="28"/>
          <w:vertAlign w:val="superscript"/>
        </w:rPr>
      </w:pPr>
      <w:r w:rsidRPr="00F92533">
        <w:rPr>
          <w:rFonts w:asciiTheme="majorHAnsi" w:hAnsiTheme="majorHAnsi" w:cs="Segoe UI"/>
          <w:color w:val="212529"/>
          <w:sz w:val="28"/>
          <w:szCs w:val="28"/>
          <w:vertAlign w:val="superscript"/>
        </w:rPr>
        <w:t>Accept the project only if its ARR is equal to or greater than the required accounting rate of return. In case of mutually exclusive projects, accept the one with highest ARR.</w:t>
      </w:r>
    </w:p>
    <w:p w:rsidR="006823F6" w:rsidRPr="006823F6" w:rsidRDefault="006823F6" w:rsidP="006823F6">
      <w:pPr>
        <w:shd w:val="clear" w:color="auto" w:fill="FFFFFF"/>
        <w:spacing w:after="100" w:afterAutospacing="1" w:line="240" w:lineRule="auto"/>
        <w:outlineLvl w:val="1"/>
        <w:rPr>
          <w:rFonts w:asciiTheme="majorHAnsi" w:eastAsia="Times New Roman" w:hAnsiTheme="majorHAnsi" w:cs="Segoe UI"/>
          <w:color w:val="212529"/>
          <w:sz w:val="28"/>
          <w:szCs w:val="28"/>
          <w:vertAlign w:val="superscript"/>
        </w:rPr>
      </w:pPr>
      <w:r w:rsidRPr="006823F6">
        <w:rPr>
          <w:rFonts w:asciiTheme="majorHAnsi" w:eastAsia="Times New Roman" w:hAnsiTheme="majorHAnsi" w:cs="Segoe UI"/>
          <w:color w:val="212529"/>
          <w:sz w:val="28"/>
          <w:szCs w:val="28"/>
          <w:vertAlign w:val="superscript"/>
        </w:rPr>
        <w:t>Advantages and Disadvantages</w:t>
      </w:r>
    </w:p>
    <w:p w:rsidR="006823F6" w:rsidRPr="006823F6" w:rsidRDefault="006823F6" w:rsidP="006823F6">
      <w:pPr>
        <w:shd w:val="clear" w:color="auto" w:fill="FFFFFF"/>
        <w:spacing w:after="100" w:afterAutospacing="1" w:line="240" w:lineRule="auto"/>
        <w:rPr>
          <w:rFonts w:asciiTheme="majorHAnsi" w:eastAsia="Times New Roman" w:hAnsiTheme="majorHAnsi" w:cs="Segoe UI"/>
          <w:color w:val="212529"/>
          <w:sz w:val="28"/>
          <w:szCs w:val="28"/>
          <w:vertAlign w:val="superscript"/>
        </w:rPr>
      </w:pPr>
      <w:r w:rsidRPr="006823F6">
        <w:rPr>
          <w:rFonts w:asciiTheme="majorHAnsi" w:eastAsia="Times New Roman" w:hAnsiTheme="majorHAnsi" w:cs="Segoe UI"/>
          <w:b/>
          <w:bCs/>
          <w:color w:val="212529"/>
          <w:sz w:val="28"/>
          <w:szCs w:val="28"/>
          <w:vertAlign w:val="superscript"/>
        </w:rPr>
        <w:t>Advantages</w:t>
      </w:r>
    </w:p>
    <w:p w:rsidR="006823F6" w:rsidRPr="006823F6" w:rsidRDefault="006823F6" w:rsidP="006823F6">
      <w:pPr>
        <w:numPr>
          <w:ilvl w:val="0"/>
          <w:numId w:val="1"/>
        </w:numPr>
        <w:shd w:val="clear" w:color="auto" w:fill="FFFFFF"/>
        <w:spacing w:before="100" w:beforeAutospacing="1" w:after="100" w:afterAutospacing="1" w:line="240" w:lineRule="auto"/>
        <w:rPr>
          <w:rFonts w:asciiTheme="majorHAnsi" w:eastAsia="Times New Roman" w:hAnsiTheme="majorHAnsi" w:cs="Segoe UI"/>
          <w:color w:val="212529"/>
          <w:sz w:val="28"/>
          <w:szCs w:val="28"/>
          <w:vertAlign w:val="superscript"/>
        </w:rPr>
      </w:pPr>
      <w:r w:rsidRPr="006823F6">
        <w:rPr>
          <w:rFonts w:asciiTheme="majorHAnsi" w:eastAsia="Times New Roman" w:hAnsiTheme="majorHAnsi" w:cs="Segoe UI"/>
          <w:color w:val="212529"/>
          <w:sz w:val="28"/>
          <w:szCs w:val="28"/>
          <w:vertAlign w:val="superscript"/>
        </w:rPr>
        <w:t>Like </w:t>
      </w:r>
      <w:hyperlink r:id="rId7" w:history="1">
        <w:r w:rsidRPr="00F92533">
          <w:rPr>
            <w:rFonts w:asciiTheme="majorHAnsi" w:eastAsia="Times New Roman" w:hAnsiTheme="majorHAnsi" w:cs="Segoe UI"/>
            <w:color w:val="007BFF"/>
            <w:sz w:val="28"/>
            <w:szCs w:val="28"/>
            <w:vertAlign w:val="superscript"/>
          </w:rPr>
          <w:t>payback period</w:t>
        </w:r>
      </w:hyperlink>
      <w:r w:rsidRPr="006823F6">
        <w:rPr>
          <w:rFonts w:asciiTheme="majorHAnsi" w:eastAsia="Times New Roman" w:hAnsiTheme="majorHAnsi" w:cs="Segoe UI"/>
          <w:color w:val="212529"/>
          <w:sz w:val="28"/>
          <w:szCs w:val="28"/>
          <w:vertAlign w:val="superscript"/>
        </w:rPr>
        <w:t>, this method of investment appraisal is easy to calculate.</w:t>
      </w:r>
    </w:p>
    <w:p w:rsidR="006823F6" w:rsidRPr="006823F6" w:rsidRDefault="006823F6" w:rsidP="006823F6">
      <w:pPr>
        <w:numPr>
          <w:ilvl w:val="0"/>
          <w:numId w:val="1"/>
        </w:numPr>
        <w:shd w:val="clear" w:color="auto" w:fill="FFFFFF"/>
        <w:spacing w:before="100" w:beforeAutospacing="1" w:after="100" w:afterAutospacing="1" w:line="240" w:lineRule="auto"/>
        <w:rPr>
          <w:rFonts w:asciiTheme="majorHAnsi" w:eastAsia="Times New Roman" w:hAnsiTheme="majorHAnsi" w:cs="Segoe UI"/>
          <w:color w:val="212529"/>
          <w:sz w:val="28"/>
          <w:szCs w:val="28"/>
          <w:vertAlign w:val="superscript"/>
        </w:rPr>
      </w:pPr>
      <w:r w:rsidRPr="006823F6">
        <w:rPr>
          <w:rFonts w:asciiTheme="majorHAnsi" w:eastAsia="Times New Roman" w:hAnsiTheme="majorHAnsi" w:cs="Segoe UI"/>
          <w:color w:val="212529"/>
          <w:sz w:val="28"/>
          <w:szCs w:val="28"/>
          <w:vertAlign w:val="superscript"/>
        </w:rPr>
        <w:t>It recognizes the profitability factor of investment.</w:t>
      </w:r>
    </w:p>
    <w:p w:rsidR="006823F6" w:rsidRPr="006823F6" w:rsidRDefault="006823F6" w:rsidP="006823F6">
      <w:pPr>
        <w:shd w:val="clear" w:color="auto" w:fill="FFFFFF"/>
        <w:spacing w:after="100" w:afterAutospacing="1" w:line="240" w:lineRule="auto"/>
        <w:rPr>
          <w:rFonts w:asciiTheme="majorHAnsi" w:eastAsia="Times New Roman" w:hAnsiTheme="majorHAnsi" w:cs="Segoe UI"/>
          <w:color w:val="212529"/>
          <w:sz w:val="28"/>
          <w:szCs w:val="28"/>
          <w:vertAlign w:val="superscript"/>
        </w:rPr>
      </w:pPr>
      <w:r w:rsidRPr="006823F6">
        <w:rPr>
          <w:rFonts w:asciiTheme="majorHAnsi" w:eastAsia="Times New Roman" w:hAnsiTheme="majorHAnsi" w:cs="Segoe UI"/>
          <w:b/>
          <w:bCs/>
          <w:color w:val="212529"/>
          <w:sz w:val="28"/>
          <w:szCs w:val="28"/>
          <w:vertAlign w:val="superscript"/>
        </w:rPr>
        <w:t>Disadvantages</w:t>
      </w:r>
    </w:p>
    <w:p w:rsidR="006823F6" w:rsidRPr="006823F6" w:rsidRDefault="006823F6" w:rsidP="006823F6">
      <w:pPr>
        <w:numPr>
          <w:ilvl w:val="0"/>
          <w:numId w:val="2"/>
        </w:numPr>
        <w:shd w:val="clear" w:color="auto" w:fill="FFFFFF"/>
        <w:spacing w:before="100" w:beforeAutospacing="1" w:after="100" w:afterAutospacing="1" w:line="240" w:lineRule="auto"/>
        <w:rPr>
          <w:rFonts w:asciiTheme="majorHAnsi" w:eastAsia="Times New Roman" w:hAnsiTheme="majorHAnsi" w:cs="Segoe UI"/>
          <w:color w:val="212529"/>
          <w:sz w:val="28"/>
          <w:szCs w:val="28"/>
          <w:vertAlign w:val="superscript"/>
        </w:rPr>
      </w:pPr>
      <w:r w:rsidRPr="006823F6">
        <w:rPr>
          <w:rFonts w:asciiTheme="majorHAnsi" w:eastAsia="Times New Roman" w:hAnsiTheme="majorHAnsi" w:cs="Segoe UI"/>
          <w:color w:val="212529"/>
          <w:sz w:val="28"/>
          <w:szCs w:val="28"/>
          <w:vertAlign w:val="superscript"/>
        </w:rPr>
        <w:t>It ignores </w:t>
      </w:r>
      <w:hyperlink r:id="rId8" w:history="1">
        <w:r w:rsidRPr="00F92533">
          <w:rPr>
            <w:rFonts w:asciiTheme="majorHAnsi" w:eastAsia="Times New Roman" w:hAnsiTheme="majorHAnsi" w:cs="Segoe UI"/>
            <w:color w:val="007BFF"/>
            <w:sz w:val="28"/>
            <w:szCs w:val="28"/>
            <w:vertAlign w:val="superscript"/>
          </w:rPr>
          <w:t>time value of money</w:t>
        </w:r>
      </w:hyperlink>
      <w:r w:rsidRPr="006823F6">
        <w:rPr>
          <w:rFonts w:asciiTheme="majorHAnsi" w:eastAsia="Times New Roman" w:hAnsiTheme="majorHAnsi" w:cs="Segoe UI"/>
          <w:color w:val="212529"/>
          <w:sz w:val="28"/>
          <w:szCs w:val="28"/>
          <w:vertAlign w:val="superscript"/>
        </w:rPr>
        <w:t>. Suppose, if we use ARR to compare two projects having equal initial investments. The project which has higher annual income in the latter years of its useful life may rank higher than the one having higher annual income in the beginning years, even if the present value of the income generated by the latter project is higher.</w:t>
      </w:r>
    </w:p>
    <w:p w:rsidR="006823F6" w:rsidRPr="006823F6" w:rsidRDefault="006823F6" w:rsidP="006823F6">
      <w:pPr>
        <w:numPr>
          <w:ilvl w:val="0"/>
          <w:numId w:val="2"/>
        </w:numPr>
        <w:shd w:val="clear" w:color="auto" w:fill="FFFFFF"/>
        <w:spacing w:before="100" w:beforeAutospacing="1" w:after="100" w:afterAutospacing="1" w:line="240" w:lineRule="auto"/>
        <w:rPr>
          <w:rFonts w:asciiTheme="majorHAnsi" w:eastAsia="Times New Roman" w:hAnsiTheme="majorHAnsi" w:cs="Segoe UI"/>
          <w:color w:val="212529"/>
          <w:sz w:val="28"/>
          <w:szCs w:val="28"/>
          <w:vertAlign w:val="superscript"/>
        </w:rPr>
      </w:pPr>
      <w:r w:rsidRPr="006823F6">
        <w:rPr>
          <w:rFonts w:asciiTheme="majorHAnsi" w:eastAsia="Times New Roman" w:hAnsiTheme="majorHAnsi" w:cs="Segoe UI"/>
          <w:color w:val="212529"/>
          <w:sz w:val="28"/>
          <w:szCs w:val="28"/>
          <w:vertAlign w:val="superscript"/>
        </w:rPr>
        <w:t>It can be calculated in different ways. Thus there is problem of consistency.</w:t>
      </w:r>
    </w:p>
    <w:p w:rsidR="006823F6" w:rsidRPr="006823F6" w:rsidRDefault="006823F6" w:rsidP="006823F6">
      <w:pPr>
        <w:numPr>
          <w:ilvl w:val="0"/>
          <w:numId w:val="2"/>
        </w:numPr>
        <w:shd w:val="clear" w:color="auto" w:fill="FFFFFF"/>
        <w:spacing w:before="100" w:beforeAutospacing="1" w:after="100" w:afterAutospacing="1" w:line="240" w:lineRule="auto"/>
        <w:rPr>
          <w:rFonts w:asciiTheme="majorHAnsi" w:eastAsia="Times New Roman" w:hAnsiTheme="majorHAnsi" w:cs="Segoe UI"/>
          <w:color w:val="212529"/>
          <w:sz w:val="28"/>
          <w:szCs w:val="28"/>
          <w:vertAlign w:val="superscript"/>
        </w:rPr>
      </w:pPr>
      <w:r w:rsidRPr="006823F6">
        <w:rPr>
          <w:rFonts w:asciiTheme="majorHAnsi" w:eastAsia="Times New Roman" w:hAnsiTheme="majorHAnsi" w:cs="Segoe UI"/>
          <w:color w:val="212529"/>
          <w:sz w:val="28"/>
          <w:szCs w:val="28"/>
          <w:vertAlign w:val="superscript"/>
        </w:rPr>
        <w:lastRenderedPageBreak/>
        <w:t>It uses accounting income rather than cash flow information. Thus it is not suitable for projects which having high maintenance costs because their viability also depends upon timely cash inflows.</w:t>
      </w:r>
    </w:p>
    <w:p w:rsidR="006823F6" w:rsidRPr="00F92533" w:rsidRDefault="006823F6" w:rsidP="006823F6">
      <w:pPr>
        <w:pStyle w:val="NormalWeb"/>
        <w:shd w:val="clear" w:color="auto" w:fill="FFFFFF"/>
        <w:spacing w:before="0" w:beforeAutospacing="0"/>
        <w:rPr>
          <w:rFonts w:asciiTheme="majorHAnsi" w:hAnsiTheme="majorHAnsi" w:cs="Segoe UI"/>
          <w:color w:val="212529"/>
          <w:sz w:val="28"/>
          <w:szCs w:val="28"/>
          <w:vertAlign w:val="superscript"/>
        </w:rPr>
      </w:pPr>
    </w:p>
    <w:p w:rsidR="006823F6" w:rsidRPr="00F92533" w:rsidRDefault="006823F6" w:rsidP="006823F6">
      <w:pPr>
        <w:pStyle w:val="NormalWeb"/>
        <w:shd w:val="clear" w:color="auto" w:fill="FFFFFF"/>
        <w:spacing w:before="0" w:beforeAutospacing="0"/>
        <w:rPr>
          <w:rFonts w:asciiTheme="majorHAnsi" w:hAnsiTheme="majorHAnsi" w:cs="Segoe UI"/>
          <w:color w:val="212529"/>
          <w:sz w:val="28"/>
          <w:szCs w:val="28"/>
          <w:shd w:val="clear" w:color="auto" w:fill="FFFFFF"/>
          <w:vertAlign w:val="superscript"/>
        </w:rPr>
      </w:pPr>
      <w:r w:rsidRPr="00F92533">
        <w:rPr>
          <w:rFonts w:asciiTheme="majorHAnsi" w:hAnsiTheme="majorHAnsi" w:cs="Segoe UI"/>
          <w:b/>
          <w:bCs/>
          <w:color w:val="212529"/>
          <w:sz w:val="28"/>
          <w:szCs w:val="28"/>
          <w:shd w:val="clear" w:color="auto" w:fill="FFFFFF"/>
          <w:vertAlign w:val="superscript"/>
        </w:rPr>
        <w:t>Eample 1:</w:t>
      </w:r>
      <w:r w:rsidRPr="00F92533">
        <w:rPr>
          <w:rFonts w:asciiTheme="majorHAnsi" w:hAnsiTheme="majorHAnsi" w:cs="Segoe UI"/>
          <w:color w:val="212529"/>
          <w:sz w:val="28"/>
          <w:szCs w:val="28"/>
          <w:shd w:val="clear" w:color="auto" w:fill="FFFFFF"/>
          <w:vertAlign w:val="superscript"/>
        </w:rPr>
        <w:t> An initial investment of $130,000 is expected to generate annual cash inflow of $32,000 for 6 years. Depreciation is allowed on the straight line basis. It is estimated that the project will generate scrap value of $10,500 at end of the 6th year. Calculate its accounting rate of return assuming that there are no other expenses on the project.</w:t>
      </w:r>
    </w:p>
    <w:p w:rsidR="006823F6" w:rsidRPr="00F92533" w:rsidRDefault="006823F6" w:rsidP="006823F6">
      <w:pPr>
        <w:pStyle w:val="NormalWeb"/>
        <w:shd w:val="clear" w:color="auto" w:fill="FFFFFF"/>
        <w:spacing w:before="0" w:beforeAutospacing="0"/>
        <w:rPr>
          <w:rFonts w:asciiTheme="majorHAnsi" w:hAnsiTheme="majorHAnsi" w:cs="Segoe UI"/>
          <w:color w:val="212529"/>
          <w:sz w:val="28"/>
          <w:szCs w:val="28"/>
          <w:vertAlign w:val="superscript"/>
        </w:rPr>
      </w:pPr>
      <w:r w:rsidRPr="00F92533">
        <w:rPr>
          <w:rFonts w:asciiTheme="majorHAnsi" w:hAnsiTheme="majorHAnsi" w:cs="Segoe UI"/>
          <w:b/>
          <w:bCs/>
          <w:color w:val="212529"/>
          <w:sz w:val="28"/>
          <w:szCs w:val="28"/>
          <w:vertAlign w:val="superscript"/>
        </w:rPr>
        <w:t>Example 2:</w:t>
      </w:r>
      <w:r w:rsidRPr="00F92533">
        <w:rPr>
          <w:rFonts w:asciiTheme="majorHAnsi" w:hAnsiTheme="majorHAnsi" w:cs="Segoe UI"/>
          <w:color w:val="212529"/>
          <w:sz w:val="28"/>
          <w:szCs w:val="28"/>
          <w:vertAlign w:val="superscript"/>
        </w:rPr>
        <w:t> Compare the following two mutually exclusive projects on the basis of ARR. Cash flows and salvage values are in thousands of dollars. Use the </w:t>
      </w:r>
      <w:hyperlink r:id="rId9" w:history="1">
        <w:r w:rsidRPr="00F92533">
          <w:rPr>
            <w:rStyle w:val="Hyperlink"/>
            <w:rFonts w:asciiTheme="majorHAnsi" w:hAnsiTheme="majorHAnsi" w:cs="Segoe UI"/>
            <w:color w:val="007BFF"/>
            <w:sz w:val="28"/>
            <w:szCs w:val="28"/>
            <w:vertAlign w:val="superscript"/>
          </w:rPr>
          <w:t>straight line depreciation</w:t>
        </w:r>
      </w:hyperlink>
      <w:r w:rsidRPr="00F92533">
        <w:rPr>
          <w:rFonts w:asciiTheme="majorHAnsi" w:hAnsiTheme="majorHAnsi" w:cs="Segoe UI"/>
          <w:color w:val="212529"/>
          <w:sz w:val="28"/>
          <w:szCs w:val="28"/>
          <w:vertAlign w:val="superscript"/>
        </w:rPr>
        <w:t> method.</w:t>
      </w:r>
    </w:p>
    <w:p w:rsidR="006823F6" w:rsidRPr="00F92533" w:rsidRDefault="006823F6" w:rsidP="006823F6">
      <w:pPr>
        <w:pStyle w:val="NormalWeb"/>
        <w:shd w:val="clear" w:color="auto" w:fill="FFFFFF"/>
        <w:spacing w:before="0" w:beforeAutospacing="0"/>
        <w:rPr>
          <w:rFonts w:asciiTheme="majorHAnsi" w:hAnsiTheme="majorHAnsi" w:cs="Segoe UI"/>
          <w:b/>
          <w:color w:val="212529"/>
          <w:sz w:val="28"/>
          <w:szCs w:val="28"/>
          <w:vertAlign w:val="superscript"/>
        </w:rPr>
      </w:pPr>
      <w:r w:rsidRPr="00F92533">
        <w:rPr>
          <w:rFonts w:asciiTheme="majorHAnsi" w:hAnsiTheme="majorHAnsi" w:cs="Segoe UI"/>
          <w:b/>
          <w:color w:val="212529"/>
          <w:sz w:val="28"/>
          <w:szCs w:val="28"/>
          <w:vertAlign w:val="superscript"/>
        </w:rPr>
        <w:t>Project A</w:t>
      </w:r>
    </w:p>
    <w:p w:rsidR="006823F6" w:rsidRPr="00F92533" w:rsidRDefault="006823F6" w:rsidP="006823F6">
      <w:pPr>
        <w:pStyle w:val="NormalWeb"/>
        <w:shd w:val="clear" w:color="auto" w:fill="FFFFFF"/>
        <w:spacing w:before="0" w:beforeAutospacing="0"/>
        <w:rPr>
          <w:rFonts w:asciiTheme="majorHAnsi" w:hAnsiTheme="majorHAnsi" w:cs="Segoe UI"/>
          <w:color w:val="212529"/>
          <w:sz w:val="28"/>
          <w:szCs w:val="28"/>
          <w:vertAlign w:val="superscript"/>
        </w:rPr>
      </w:pPr>
      <w:r w:rsidRPr="00F92533">
        <w:rPr>
          <w:rFonts w:asciiTheme="majorHAnsi" w:hAnsiTheme="majorHAnsi" w:cs="Consolas"/>
          <w:color w:val="212529"/>
          <w:sz w:val="28"/>
          <w:szCs w:val="28"/>
          <w:shd w:val="clear" w:color="auto" w:fill="FFFFFF"/>
          <w:vertAlign w:val="superscript"/>
        </w:rPr>
        <w:t xml:space="preserve">Year                 0  </w:t>
      </w:r>
      <w:r w:rsidR="00F92533">
        <w:rPr>
          <w:rFonts w:asciiTheme="majorHAnsi" w:hAnsiTheme="majorHAnsi" w:cs="Consolas"/>
          <w:color w:val="212529"/>
          <w:sz w:val="28"/>
          <w:szCs w:val="28"/>
          <w:shd w:val="clear" w:color="auto" w:fill="FFFFFF"/>
          <w:vertAlign w:val="superscript"/>
        </w:rPr>
        <w:t xml:space="preserve">     </w:t>
      </w:r>
      <w:r w:rsidRPr="00F92533">
        <w:rPr>
          <w:rFonts w:asciiTheme="majorHAnsi" w:hAnsiTheme="majorHAnsi" w:cs="Consolas"/>
          <w:color w:val="212529"/>
          <w:sz w:val="28"/>
          <w:szCs w:val="28"/>
          <w:shd w:val="clear" w:color="auto" w:fill="FFFFFF"/>
          <w:vertAlign w:val="superscript"/>
        </w:rPr>
        <w:t xml:space="preserve">    1     </w:t>
      </w:r>
      <w:r w:rsidR="00F92533">
        <w:rPr>
          <w:rFonts w:asciiTheme="majorHAnsi" w:hAnsiTheme="majorHAnsi" w:cs="Consolas"/>
          <w:color w:val="212529"/>
          <w:sz w:val="28"/>
          <w:szCs w:val="28"/>
          <w:shd w:val="clear" w:color="auto" w:fill="FFFFFF"/>
          <w:vertAlign w:val="superscript"/>
        </w:rPr>
        <w:t xml:space="preserve"> </w:t>
      </w:r>
      <w:r w:rsidRPr="00F92533">
        <w:rPr>
          <w:rFonts w:asciiTheme="majorHAnsi" w:hAnsiTheme="majorHAnsi" w:cs="Consolas"/>
          <w:color w:val="212529"/>
          <w:sz w:val="28"/>
          <w:szCs w:val="28"/>
          <w:shd w:val="clear" w:color="auto" w:fill="FFFFFF"/>
          <w:vertAlign w:val="superscript"/>
        </w:rPr>
        <w:t xml:space="preserve">  2     </w:t>
      </w:r>
      <w:r w:rsidR="00F92533">
        <w:rPr>
          <w:rFonts w:asciiTheme="majorHAnsi" w:hAnsiTheme="majorHAnsi" w:cs="Consolas"/>
          <w:color w:val="212529"/>
          <w:sz w:val="28"/>
          <w:szCs w:val="28"/>
          <w:shd w:val="clear" w:color="auto" w:fill="FFFFFF"/>
          <w:vertAlign w:val="superscript"/>
        </w:rPr>
        <w:t xml:space="preserve">     </w:t>
      </w:r>
      <w:r w:rsidRPr="00F92533">
        <w:rPr>
          <w:rFonts w:asciiTheme="majorHAnsi" w:hAnsiTheme="majorHAnsi" w:cs="Consolas"/>
          <w:color w:val="212529"/>
          <w:sz w:val="28"/>
          <w:szCs w:val="28"/>
          <w:shd w:val="clear" w:color="auto" w:fill="FFFFFF"/>
          <w:vertAlign w:val="superscript"/>
        </w:rPr>
        <w:t xml:space="preserve"> 3</w:t>
      </w:r>
    </w:p>
    <w:p w:rsidR="006823F6" w:rsidRPr="00F92533" w:rsidRDefault="006823F6" w:rsidP="006823F6">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rPr>
          <w:rFonts w:asciiTheme="majorHAnsi" w:hAnsiTheme="majorHAnsi" w:cs="Consolas"/>
          <w:color w:val="212529"/>
          <w:sz w:val="28"/>
          <w:szCs w:val="28"/>
          <w:vertAlign w:val="superscript"/>
        </w:rPr>
      </w:pPr>
      <w:r w:rsidRPr="00F92533">
        <w:rPr>
          <w:rFonts w:asciiTheme="majorHAnsi" w:hAnsiTheme="majorHAnsi" w:cs="Consolas"/>
          <w:color w:val="212529"/>
          <w:sz w:val="28"/>
          <w:szCs w:val="28"/>
          <w:vertAlign w:val="superscript"/>
        </w:rPr>
        <w:t>Outlow        -220</w:t>
      </w:r>
    </w:p>
    <w:p w:rsidR="006823F6" w:rsidRPr="00F92533" w:rsidRDefault="006823F6" w:rsidP="006823F6">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rPr>
          <w:rFonts w:asciiTheme="majorHAnsi" w:hAnsiTheme="majorHAnsi" w:cs="Consolas"/>
          <w:color w:val="212529"/>
          <w:sz w:val="28"/>
          <w:szCs w:val="28"/>
          <w:vertAlign w:val="superscript"/>
        </w:rPr>
      </w:pPr>
      <w:r w:rsidRPr="00F92533">
        <w:rPr>
          <w:rFonts w:asciiTheme="majorHAnsi" w:hAnsiTheme="majorHAnsi" w:cs="Consolas"/>
          <w:color w:val="212529"/>
          <w:sz w:val="28"/>
          <w:szCs w:val="28"/>
          <w:vertAlign w:val="superscript"/>
        </w:rPr>
        <w:t>Cash Inflow                91     130    105</w:t>
      </w:r>
    </w:p>
    <w:p w:rsidR="006823F6" w:rsidRPr="00F92533" w:rsidRDefault="006823F6" w:rsidP="006823F6">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rPr>
          <w:rFonts w:asciiTheme="majorHAnsi" w:hAnsiTheme="majorHAnsi" w:cs="Consolas"/>
          <w:color w:val="212529"/>
          <w:sz w:val="28"/>
          <w:szCs w:val="28"/>
          <w:vertAlign w:val="superscript"/>
        </w:rPr>
      </w:pPr>
      <w:r w:rsidRPr="00F92533">
        <w:rPr>
          <w:rFonts w:asciiTheme="majorHAnsi" w:hAnsiTheme="majorHAnsi" w:cs="Consolas"/>
          <w:color w:val="212529"/>
          <w:sz w:val="28"/>
          <w:szCs w:val="28"/>
          <w:vertAlign w:val="superscript"/>
        </w:rPr>
        <w:t xml:space="preserve">Salvage Value                          </w:t>
      </w:r>
      <w:r w:rsidR="00F92533">
        <w:rPr>
          <w:rFonts w:asciiTheme="majorHAnsi" w:hAnsiTheme="majorHAnsi" w:cs="Consolas"/>
          <w:color w:val="212529"/>
          <w:sz w:val="28"/>
          <w:szCs w:val="28"/>
          <w:vertAlign w:val="superscript"/>
        </w:rPr>
        <w:t xml:space="preserve">     </w:t>
      </w:r>
      <w:r w:rsidRPr="00F92533">
        <w:rPr>
          <w:rFonts w:asciiTheme="majorHAnsi" w:hAnsiTheme="majorHAnsi" w:cs="Consolas"/>
          <w:color w:val="212529"/>
          <w:sz w:val="28"/>
          <w:szCs w:val="28"/>
          <w:vertAlign w:val="superscript"/>
        </w:rPr>
        <w:t xml:space="preserve">   10</w:t>
      </w:r>
    </w:p>
    <w:p w:rsidR="006823F6" w:rsidRPr="00F92533" w:rsidRDefault="006823F6" w:rsidP="006823F6">
      <w:pPr>
        <w:pStyle w:val="NormalWeb"/>
        <w:shd w:val="clear" w:color="auto" w:fill="FFFFFF"/>
        <w:spacing w:before="0" w:beforeAutospacing="0"/>
        <w:rPr>
          <w:rFonts w:asciiTheme="majorHAnsi" w:hAnsiTheme="majorHAnsi" w:cs="Segoe UI"/>
          <w:color w:val="212529"/>
          <w:sz w:val="28"/>
          <w:szCs w:val="28"/>
          <w:vertAlign w:val="superscript"/>
        </w:rPr>
      </w:pPr>
      <w:r w:rsidRPr="00F92533">
        <w:rPr>
          <w:rFonts w:asciiTheme="majorHAnsi" w:hAnsiTheme="majorHAnsi" w:cs="Segoe UI"/>
          <w:b/>
          <w:bCs/>
          <w:color w:val="212529"/>
          <w:sz w:val="28"/>
          <w:szCs w:val="28"/>
          <w:vertAlign w:val="superscript"/>
        </w:rPr>
        <w:t>Project B:</w:t>
      </w:r>
    </w:p>
    <w:p w:rsidR="006823F6" w:rsidRPr="00F92533" w:rsidRDefault="006823F6" w:rsidP="006823F6">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rPr>
          <w:rFonts w:asciiTheme="majorHAnsi" w:hAnsiTheme="majorHAnsi" w:cs="Consolas"/>
          <w:color w:val="212529"/>
          <w:sz w:val="28"/>
          <w:szCs w:val="28"/>
          <w:vertAlign w:val="superscript"/>
        </w:rPr>
      </w:pPr>
      <w:r w:rsidRPr="00F92533">
        <w:rPr>
          <w:rFonts w:asciiTheme="majorHAnsi" w:hAnsiTheme="majorHAnsi" w:cs="Consolas"/>
          <w:color w:val="212529"/>
          <w:sz w:val="28"/>
          <w:szCs w:val="28"/>
          <w:vertAlign w:val="superscript"/>
        </w:rPr>
        <w:t xml:space="preserve">Year             </w:t>
      </w:r>
      <w:r w:rsidR="00F92533">
        <w:rPr>
          <w:rFonts w:asciiTheme="majorHAnsi" w:hAnsiTheme="majorHAnsi" w:cs="Consolas"/>
          <w:color w:val="212529"/>
          <w:sz w:val="28"/>
          <w:szCs w:val="28"/>
          <w:vertAlign w:val="superscript"/>
        </w:rPr>
        <w:t xml:space="preserve">            </w:t>
      </w:r>
      <w:r w:rsidRPr="00F92533">
        <w:rPr>
          <w:rFonts w:asciiTheme="majorHAnsi" w:hAnsiTheme="majorHAnsi" w:cs="Consolas"/>
          <w:color w:val="212529"/>
          <w:sz w:val="28"/>
          <w:szCs w:val="28"/>
          <w:vertAlign w:val="superscript"/>
        </w:rPr>
        <w:t xml:space="preserve">    0   </w:t>
      </w:r>
      <w:r w:rsidR="00F92533">
        <w:rPr>
          <w:rFonts w:asciiTheme="majorHAnsi" w:hAnsiTheme="majorHAnsi" w:cs="Consolas"/>
          <w:color w:val="212529"/>
          <w:sz w:val="28"/>
          <w:szCs w:val="28"/>
          <w:vertAlign w:val="superscript"/>
        </w:rPr>
        <w:t xml:space="preserve">    </w:t>
      </w:r>
      <w:r w:rsidRPr="00F92533">
        <w:rPr>
          <w:rFonts w:asciiTheme="majorHAnsi" w:hAnsiTheme="majorHAnsi" w:cs="Consolas"/>
          <w:color w:val="212529"/>
          <w:sz w:val="28"/>
          <w:szCs w:val="28"/>
          <w:vertAlign w:val="superscript"/>
        </w:rPr>
        <w:t xml:space="preserve">   1       2      3</w:t>
      </w:r>
    </w:p>
    <w:p w:rsidR="006823F6" w:rsidRPr="00F92533" w:rsidRDefault="006823F6" w:rsidP="006823F6">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rPr>
          <w:rFonts w:asciiTheme="majorHAnsi" w:hAnsiTheme="majorHAnsi" w:cs="Consolas"/>
          <w:color w:val="212529"/>
          <w:sz w:val="28"/>
          <w:szCs w:val="28"/>
          <w:vertAlign w:val="superscript"/>
        </w:rPr>
      </w:pPr>
      <w:r w:rsidRPr="00F92533">
        <w:rPr>
          <w:rFonts w:asciiTheme="majorHAnsi" w:hAnsiTheme="majorHAnsi" w:cs="Consolas"/>
          <w:color w:val="212529"/>
          <w:sz w:val="28"/>
          <w:szCs w:val="28"/>
          <w:vertAlign w:val="superscript"/>
        </w:rPr>
        <w:t>Cash Outflow       -198</w:t>
      </w:r>
    </w:p>
    <w:p w:rsidR="006823F6" w:rsidRPr="00F92533" w:rsidRDefault="006823F6" w:rsidP="006823F6">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rPr>
          <w:rFonts w:asciiTheme="majorHAnsi" w:hAnsiTheme="majorHAnsi" w:cs="Consolas"/>
          <w:color w:val="212529"/>
          <w:sz w:val="28"/>
          <w:szCs w:val="28"/>
          <w:vertAlign w:val="superscript"/>
        </w:rPr>
      </w:pPr>
      <w:r w:rsidRPr="00F92533">
        <w:rPr>
          <w:rFonts w:asciiTheme="majorHAnsi" w:hAnsiTheme="majorHAnsi" w:cs="Consolas"/>
          <w:color w:val="212529"/>
          <w:sz w:val="28"/>
          <w:szCs w:val="28"/>
          <w:vertAlign w:val="superscript"/>
        </w:rPr>
        <w:t xml:space="preserve">Cash Inflow                87 </w:t>
      </w:r>
      <w:r w:rsidR="00F92533">
        <w:rPr>
          <w:rFonts w:asciiTheme="majorHAnsi" w:hAnsiTheme="majorHAnsi" w:cs="Consolas"/>
          <w:color w:val="212529"/>
          <w:sz w:val="28"/>
          <w:szCs w:val="28"/>
          <w:vertAlign w:val="superscript"/>
        </w:rPr>
        <w:t xml:space="preserve"> </w:t>
      </w:r>
      <w:r w:rsidRPr="00F92533">
        <w:rPr>
          <w:rFonts w:asciiTheme="majorHAnsi" w:hAnsiTheme="majorHAnsi" w:cs="Consolas"/>
          <w:color w:val="212529"/>
          <w:sz w:val="28"/>
          <w:szCs w:val="28"/>
          <w:vertAlign w:val="superscript"/>
        </w:rPr>
        <w:t xml:space="preserve">    110     </w:t>
      </w:r>
      <w:r w:rsidR="00F92533">
        <w:rPr>
          <w:rFonts w:asciiTheme="majorHAnsi" w:hAnsiTheme="majorHAnsi" w:cs="Consolas"/>
          <w:color w:val="212529"/>
          <w:sz w:val="28"/>
          <w:szCs w:val="28"/>
          <w:vertAlign w:val="superscript"/>
        </w:rPr>
        <w:t xml:space="preserve">      </w:t>
      </w:r>
      <w:r w:rsidRPr="00F92533">
        <w:rPr>
          <w:rFonts w:asciiTheme="majorHAnsi" w:hAnsiTheme="majorHAnsi" w:cs="Consolas"/>
          <w:color w:val="212529"/>
          <w:sz w:val="28"/>
          <w:szCs w:val="28"/>
          <w:vertAlign w:val="superscript"/>
        </w:rPr>
        <w:t>84</w:t>
      </w:r>
    </w:p>
    <w:p w:rsidR="006823F6" w:rsidRPr="00F92533" w:rsidRDefault="006823F6" w:rsidP="006823F6">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rPr>
          <w:rFonts w:asciiTheme="majorHAnsi" w:hAnsiTheme="majorHAnsi" w:cs="Consolas"/>
          <w:color w:val="212529"/>
          <w:sz w:val="28"/>
          <w:szCs w:val="28"/>
          <w:vertAlign w:val="superscript"/>
        </w:rPr>
      </w:pPr>
      <w:r w:rsidRPr="00F92533">
        <w:rPr>
          <w:rFonts w:asciiTheme="majorHAnsi" w:hAnsiTheme="majorHAnsi" w:cs="Consolas"/>
          <w:color w:val="212529"/>
          <w:sz w:val="28"/>
          <w:szCs w:val="28"/>
          <w:vertAlign w:val="superscript"/>
        </w:rPr>
        <w:t xml:space="preserve">Salvage Value                      </w:t>
      </w:r>
      <w:r w:rsidR="00F92533">
        <w:rPr>
          <w:rFonts w:asciiTheme="majorHAnsi" w:hAnsiTheme="majorHAnsi" w:cs="Consolas"/>
          <w:color w:val="212529"/>
          <w:sz w:val="28"/>
          <w:szCs w:val="28"/>
          <w:vertAlign w:val="superscript"/>
        </w:rPr>
        <w:t xml:space="preserve">          </w:t>
      </w:r>
      <w:r w:rsidRPr="00F92533">
        <w:rPr>
          <w:rFonts w:asciiTheme="majorHAnsi" w:hAnsiTheme="majorHAnsi" w:cs="Consolas"/>
          <w:color w:val="212529"/>
          <w:sz w:val="28"/>
          <w:szCs w:val="28"/>
          <w:vertAlign w:val="superscript"/>
        </w:rPr>
        <w:t xml:space="preserve">     </w:t>
      </w:r>
      <w:r w:rsidR="00F92533">
        <w:rPr>
          <w:rFonts w:asciiTheme="majorHAnsi" w:hAnsiTheme="majorHAnsi" w:cs="Consolas"/>
          <w:color w:val="212529"/>
          <w:sz w:val="28"/>
          <w:szCs w:val="28"/>
          <w:vertAlign w:val="superscript"/>
        </w:rPr>
        <w:t xml:space="preserve">   </w:t>
      </w:r>
      <w:r w:rsidRPr="00F92533">
        <w:rPr>
          <w:rFonts w:asciiTheme="majorHAnsi" w:hAnsiTheme="majorHAnsi" w:cs="Consolas"/>
          <w:color w:val="212529"/>
          <w:sz w:val="28"/>
          <w:szCs w:val="28"/>
          <w:vertAlign w:val="superscript"/>
        </w:rPr>
        <w:t xml:space="preserve">  18</w:t>
      </w:r>
    </w:p>
    <w:p w:rsidR="006823F6" w:rsidRPr="00F92533" w:rsidRDefault="006823F6" w:rsidP="006823F6">
      <w:pPr>
        <w:pStyle w:val="NormalWeb"/>
        <w:shd w:val="clear" w:color="auto" w:fill="FFFFFF"/>
        <w:rPr>
          <w:rFonts w:asciiTheme="majorHAnsi" w:hAnsiTheme="majorHAnsi" w:cs="Arial"/>
          <w:color w:val="454545"/>
          <w:sz w:val="28"/>
          <w:szCs w:val="28"/>
          <w:vertAlign w:val="superscript"/>
        </w:rPr>
      </w:pPr>
      <w:r w:rsidRPr="00F92533">
        <w:rPr>
          <w:rFonts w:asciiTheme="majorHAnsi" w:hAnsiTheme="majorHAnsi" w:cs="Arial"/>
          <w:color w:val="454545"/>
          <w:sz w:val="28"/>
          <w:szCs w:val="28"/>
          <w:vertAlign w:val="superscript"/>
        </w:rPr>
        <w:t>Example # 3</w:t>
      </w:r>
    </w:p>
    <w:p w:rsidR="006823F6" w:rsidRPr="00F92533" w:rsidRDefault="00762CB4" w:rsidP="006823F6">
      <w:pPr>
        <w:pStyle w:val="NormalWeb"/>
        <w:shd w:val="clear" w:color="auto" w:fill="FFFFFF"/>
        <w:rPr>
          <w:rFonts w:asciiTheme="majorHAnsi" w:hAnsiTheme="majorHAnsi" w:cs="Arial"/>
          <w:color w:val="454545"/>
          <w:sz w:val="28"/>
          <w:szCs w:val="28"/>
          <w:vertAlign w:val="superscript"/>
        </w:rPr>
      </w:pPr>
      <w:r>
        <w:rPr>
          <w:rFonts w:asciiTheme="majorHAnsi" w:hAnsiTheme="majorHAnsi" w:cs="Arial"/>
          <w:color w:val="454545"/>
          <w:sz w:val="28"/>
          <w:szCs w:val="28"/>
          <w:vertAlign w:val="superscript"/>
        </w:rPr>
        <w:t xml:space="preserve">Daryadill Corporations </w:t>
      </w:r>
      <w:r w:rsidR="006823F6" w:rsidRPr="00F92533">
        <w:rPr>
          <w:rFonts w:asciiTheme="majorHAnsi" w:hAnsiTheme="majorHAnsi" w:cs="Arial"/>
          <w:color w:val="454545"/>
          <w:sz w:val="28"/>
          <w:szCs w:val="28"/>
          <w:vertAlign w:val="superscript"/>
        </w:rPr>
        <w:t>wants to replace an old machine with a new one. The old machine can be sold to a small factory for $10,000. The new machine would increase annual revenue by $150,000 and annual operating expenses by $60,000. The new machine would cost $360,000. The estimated useful life of the machine is 12 years with zero salvage value.</w:t>
      </w:r>
    </w:p>
    <w:p w:rsidR="006823F6" w:rsidRPr="006823F6" w:rsidRDefault="006823F6" w:rsidP="006823F6">
      <w:pPr>
        <w:shd w:val="clear" w:color="auto" w:fill="FFFFFF"/>
        <w:spacing w:before="100" w:beforeAutospacing="1" w:after="100" w:afterAutospacing="1" w:line="240" w:lineRule="auto"/>
        <w:rPr>
          <w:rFonts w:asciiTheme="majorHAnsi" w:eastAsia="Times New Roman" w:hAnsiTheme="majorHAnsi" w:cs="Arial"/>
          <w:color w:val="454545"/>
          <w:sz w:val="28"/>
          <w:szCs w:val="28"/>
          <w:vertAlign w:val="superscript"/>
        </w:rPr>
      </w:pPr>
      <w:r w:rsidRPr="00F92533">
        <w:rPr>
          <w:rFonts w:asciiTheme="majorHAnsi" w:eastAsia="Times New Roman" w:hAnsiTheme="majorHAnsi" w:cs="Arial"/>
          <w:b/>
          <w:bCs/>
          <w:i/>
          <w:iCs/>
          <w:color w:val="333333"/>
          <w:sz w:val="28"/>
          <w:szCs w:val="28"/>
          <w:vertAlign w:val="superscript"/>
        </w:rPr>
        <w:t>Required:</w:t>
      </w:r>
    </w:p>
    <w:p w:rsidR="006823F6" w:rsidRPr="006823F6" w:rsidRDefault="006823F6" w:rsidP="006823F6">
      <w:pPr>
        <w:numPr>
          <w:ilvl w:val="0"/>
          <w:numId w:val="3"/>
        </w:numPr>
        <w:shd w:val="clear" w:color="auto" w:fill="FFFFFF"/>
        <w:spacing w:before="24" w:after="24" w:line="240" w:lineRule="auto"/>
        <w:ind w:left="744" w:right="24"/>
        <w:rPr>
          <w:rFonts w:asciiTheme="majorHAnsi" w:eastAsia="Times New Roman" w:hAnsiTheme="majorHAnsi" w:cs="Arial"/>
          <w:color w:val="454545"/>
          <w:sz w:val="28"/>
          <w:szCs w:val="28"/>
          <w:vertAlign w:val="superscript"/>
        </w:rPr>
      </w:pPr>
      <w:r w:rsidRPr="006823F6">
        <w:rPr>
          <w:rFonts w:asciiTheme="majorHAnsi" w:eastAsia="Times New Roman" w:hAnsiTheme="majorHAnsi" w:cs="Arial"/>
          <w:color w:val="454545"/>
          <w:sz w:val="28"/>
          <w:szCs w:val="28"/>
          <w:vertAlign w:val="superscript"/>
        </w:rPr>
        <w:t>Compute accounting rate of return (ARR) of the machine using above information.</w:t>
      </w:r>
    </w:p>
    <w:p w:rsidR="006823F6" w:rsidRPr="006823F6" w:rsidRDefault="006823F6" w:rsidP="006823F6">
      <w:pPr>
        <w:numPr>
          <w:ilvl w:val="0"/>
          <w:numId w:val="3"/>
        </w:numPr>
        <w:shd w:val="clear" w:color="auto" w:fill="FFFFFF"/>
        <w:spacing w:before="24" w:after="24" w:line="240" w:lineRule="auto"/>
        <w:ind w:left="744" w:right="24"/>
        <w:rPr>
          <w:rFonts w:asciiTheme="majorHAnsi" w:eastAsia="Times New Roman" w:hAnsiTheme="majorHAnsi" w:cs="Arial"/>
          <w:color w:val="454545"/>
          <w:sz w:val="28"/>
          <w:szCs w:val="28"/>
          <w:vertAlign w:val="superscript"/>
        </w:rPr>
      </w:pPr>
      <w:r w:rsidRPr="006823F6">
        <w:rPr>
          <w:rFonts w:asciiTheme="majorHAnsi" w:eastAsia="Times New Roman" w:hAnsiTheme="majorHAnsi" w:cs="Arial"/>
          <w:color w:val="454545"/>
          <w:sz w:val="28"/>
          <w:szCs w:val="28"/>
          <w:vertAlign w:val="superscript"/>
        </w:rPr>
        <w:lastRenderedPageBreak/>
        <w:t>Should Fine Clothing Factory purchase the machine if management wants an accounting rate of return of 15% on all capital investments?</w:t>
      </w:r>
    </w:p>
    <w:p w:rsidR="006823F6" w:rsidRPr="00762CB4" w:rsidRDefault="006823F6" w:rsidP="006823F6">
      <w:pPr>
        <w:pStyle w:val="NormalWeb"/>
        <w:shd w:val="clear" w:color="auto" w:fill="FFFFFF"/>
        <w:rPr>
          <w:rFonts w:asciiTheme="majorHAnsi" w:hAnsiTheme="majorHAnsi" w:cs="Arial"/>
          <w:b/>
          <w:color w:val="454545"/>
          <w:sz w:val="28"/>
          <w:szCs w:val="28"/>
          <w:shd w:val="clear" w:color="auto" w:fill="FFFFFF"/>
          <w:vertAlign w:val="superscript"/>
        </w:rPr>
      </w:pPr>
      <w:r w:rsidRPr="00762CB4">
        <w:rPr>
          <w:rFonts w:asciiTheme="majorHAnsi" w:hAnsiTheme="majorHAnsi" w:cs="Arial"/>
          <w:b/>
          <w:color w:val="454545"/>
          <w:sz w:val="28"/>
          <w:szCs w:val="28"/>
          <w:shd w:val="clear" w:color="auto" w:fill="FFFFFF"/>
          <w:vertAlign w:val="superscript"/>
        </w:rPr>
        <w:t>Cost Reduction Projects</w:t>
      </w:r>
    </w:p>
    <w:p w:rsidR="006823F6" w:rsidRPr="00F92533" w:rsidRDefault="006823F6" w:rsidP="006823F6">
      <w:pPr>
        <w:pStyle w:val="NormalWeb"/>
        <w:shd w:val="clear" w:color="auto" w:fill="FFFFFF"/>
        <w:rPr>
          <w:rFonts w:asciiTheme="majorHAnsi" w:hAnsiTheme="majorHAnsi" w:cs="Arial"/>
          <w:color w:val="454545"/>
          <w:sz w:val="28"/>
          <w:szCs w:val="28"/>
          <w:shd w:val="clear" w:color="auto" w:fill="FFFFFF"/>
          <w:vertAlign w:val="superscript"/>
        </w:rPr>
      </w:pPr>
      <w:r w:rsidRPr="00F92533">
        <w:rPr>
          <w:rFonts w:asciiTheme="majorHAnsi" w:hAnsiTheme="majorHAnsi" w:cs="Arial"/>
          <w:color w:val="454545"/>
          <w:sz w:val="28"/>
          <w:szCs w:val="28"/>
          <w:shd w:val="clear" w:color="auto" w:fill="FFFFFF"/>
          <w:vertAlign w:val="superscript"/>
        </w:rPr>
        <w:t>Example # 4</w:t>
      </w:r>
    </w:p>
    <w:p w:rsidR="006823F6" w:rsidRPr="00F92533" w:rsidRDefault="00762CB4" w:rsidP="006823F6">
      <w:pPr>
        <w:pStyle w:val="NormalWeb"/>
        <w:shd w:val="clear" w:color="auto" w:fill="FFFFFF"/>
        <w:rPr>
          <w:rFonts w:asciiTheme="majorHAnsi" w:hAnsiTheme="majorHAnsi" w:cs="Arial"/>
          <w:color w:val="454545"/>
          <w:sz w:val="28"/>
          <w:szCs w:val="28"/>
          <w:vertAlign w:val="superscript"/>
        </w:rPr>
      </w:pPr>
      <w:r>
        <w:rPr>
          <w:rFonts w:asciiTheme="majorHAnsi" w:hAnsiTheme="majorHAnsi" w:cs="Arial"/>
          <w:color w:val="454545"/>
          <w:sz w:val="28"/>
          <w:szCs w:val="28"/>
          <w:shd w:val="clear" w:color="auto" w:fill="FFFFFF"/>
          <w:vertAlign w:val="superscript"/>
        </w:rPr>
        <w:t>The Cross Stitch brand</w:t>
      </w:r>
      <w:r w:rsidR="006823F6" w:rsidRPr="00F92533">
        <w:rPr>
          <w:rFonts w:asciiTheme="majorHAnsi" w:hAnsiTheme="majorHAnsi" w:cs="Arial"/>
          <w:color w:val="454545"/>
          <w:sz w:val="28"/>
          <w:szCs w:val="28"/>
          <w:shd w:val="clear" w:color="auto" w:fill="FFFFFF"/>
          <w:vertAlign w:val="superscript"/>
        </w:rPr>
        <w:t xml:space="preserve"> is considering to purchase an equipment costing $45,000 to be used in packing department. It would reduce annual labor cost by $12,000. The useful life of the equipment would be 15 years with no salvage value. The operating expenses of the equipment other than depreciation would be $3,000 per year.</w:t>
      </w:r>
    </w:p>
    <w:p w:rsidR="006823F6" w:rsidRPr="00F92533" w:rsidRDefault="006823F6" w:rsidP="007E493B">
      <w:pPr>
        <w:rPr>
          <w:rFonts w:asciiTheme="majorHAnsi" w:hAnsiTheme="majorHAnsi"/>
          <w:sz w:val="28"/>
          <w:szCs w:val="28"/>
          <w:vertAlign w:val="superscript"/>
        </w:rPr>
      </w:pPr>
      <w:r w:rsidRPr="00F92533">
        <w:rPr>
          <w:rFonts w:asciiTheme="majorHAnsi" w:hAnsiTheme="majorHAnsi"/>
          <w:sz w:val="28"/>
          <w:szCs w:val="28"/>
          <w:vertAlign w:val="superscript"/>
        </w:rPr>
        <w:t>Example # 5</w:t>
      </w:r>
    </w:p>
    <w:p w:rsidR="006823F6" w:rsidRPr="00F92533" w:rsidRDefault="00762CB4" w:rsidP="006823F6">
      <w:pPr>
        <w:pStyle w:val="NormalWeb"/>
        <w:shd w:val="clear" w:color="auto" w:fill="FFFFFF"/>
        <w:rPr>
          <w:rFonts w:asciiTheme="majorHAnsi" w:hAnsiTheme="majorHAnsi" w:cs="Arial"/>
          <w:color w:val="454545"/>
          <w:sz w:val="28"/>
          <w:szCs w:val="28"/>
          <w:vertAlign w:val="superscript"/>
        </w:rPr>
      </w:pPr>
      <w:r>
        <w:rPr>
          <w:rFonts w:asciiTheme="majorHAnsi" w:hAnsiTheme="majorHAnsi" w:cs="Arial"/>
          <w:color w:val="454545"/>
          <w:sz w:val="28"/>
          <w:szCs w:val="28"/>
          <w:vertAlign w:val="superscript"/>
        </w:rPr>
        <w:t xml:space="preserve">The Mottu and Patlu </w:t>
      </w:r>
      <w:r w:rsidR="006823F6" w:rsidRPr="00F92533">
        <w:rPr>
          <w:rFonts w:asciiTheme="majorHAnsi" w:hAnsiTheme="majorHAnsi" w:cs="Arial"/>
          <w:color w:val="454545"/>
          <w:sz w:val="28"/>
          <w:szCs w:val="28"/>
          <w:vertAlign w:val="superscript"/>
        </w:rPr>
        <w:t>manufacturing company has the following different alternative investment proposals:</w:t>
      </w:r>
    </w:p>
    <w:p w:rsidR="006823F6" w:rsidRPr="00F92533" w:rsidRDefault="006823F6" w:rsidP="006823F6">
      <w:pPr>
        <w:pStyle w:val="NormalWeb"/>
        <w:shd w:val="clear" w:color="auto" w:fill="FFFFFF"/>
        <w:rPr>
          <w:rFonts w:asciiTheme="majorHAnsi" w:hAnsiTheme="majorHAnsi" w:cs="Arial"/>
          <w:color w:val="454545"/>
          <w:sz w:val="28"/>
          <w:szCs w:val="28"/>
          <w:vertAlign w:val="superscript"/>
        </w:rPr>
      </w:pPr>
      <w:r w:rsidRPr="00F92533">
        <w:rPr>
          <w:rFonts w:asciiTheme="majorHAnsi" w:hAnsiTheme="majorHAnsi" w:cs="Arial"/>
          <w:noProof/>
          <w:color w:val="0695C9"/>
          <w:sz w:val="28"/>
          <w:szCs w:val="28"/>
          <w:vertAlign w:val="superscript"/>
        </w:rPr>
        <w:drawing>
          <wp:inline distT="0" distB="0" distL="0" distR="0">
            <wp:extent cx="4762500" cy="1676400"/>
            <wp:effectExtent l="19050" t="0" r="0" b="0"/>
            <wp:docPr id="1" name="Picture 1" descr="accounting-rate-of-return-method-img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ounting-rate-of-return-method-img3">
                      <a:hlinkClick r:id="rId10"/>
                    </pic:cNvPr>
                    <pic:cNvPicPr>
                      <a:picLocks noChangeAspect="1" noChangeArrowheads="1"/>
                    </pic:cNvPicPr>
                  </pic:nvPicPr>
                  <pic:blipFill>
                    <a:blip r:embed="rId11"/>
                    <a:srcRect/>
                    <a:stretch>
                      <a:fillRect/>
                    </a:stretch>
                  </pic:blipFill>
                  <pic:spPr bwMode="auto">
                    <a:xfrm>
                      <a:off x="0" y="0"/>
                      <a:ext cx="4762500" cy="1676400"/>
                    </a:xfrm>
                    <a:prstGeom prst="rect">
                      <a:avLst/>
                    </a:prstGeom>
                    <a:noFill/>
                    <a:ln w="9525">
                      <a:noFill/>
                      <a:miter lim="800000"/>
                      <a:headEnd/>
                      <a:tailEnd/>
                    </a:ln>
                  </pic:spPr>
                </pic:pic>
              </a:graphicData>
            </a:graphic>
          </wp:inline>
        </w:drawing>
      </w:r>
    </w:p>
    <w:p w:rsidR="006823F6" w:rsidRPr="00F92533" w:rsidRDefault="006823F6" w:rsidP="006823F6">
      <w:pPr>
        <w:pStyle w:val="NormalWeb"/>
        <w:shd w:val="clear" w:color="auto" w:fill="FFFFFF"/>
        <w:rPr>
          <w:rFonts w:asciiTheme="majorHAnsi" w:hAnsiTheme="majorHAnsi" w:cs="Arial"/>
          <w:color w:val="454545"/>
          <w:sz w:val="28"/>
          <w:szCs w:val="28"/>
          <w:vertAlign w:val="superscript"/>
        </w:rPr>
      </w:pPr>
      <w:r w:rsidRPr="00F92533">
        <w:rPr>
          <w:rStyle w:val="Strong"/>
          <w:rFonts w:asciiTheme="majorHAnsi" w:hAnsiTheme="majorHAnsi" w:cs="Arial"/>
          <w:color w:val="333333"/>
          <w:sz w:val="28"/>
          <w:szCs w:val="28"/>
          <w:vertAlign w:val="superscript"/>
        </w:rPr>
        <w:t>Required:</w:t>
      </w:r>
      <w:r w:rsidRPr="00F92533">
        <w:rPr>
          <w:rFonts w:asciiTheme="majorHAnsi" w:hAnsiTheme="majorHAnsi" w:cs="Arial"/>
          <w:color w:val="454545"/>
          <w:sz w:val="28"/>
          <w:szCs w:val="28"/>
          <w:vertAlign w:val="superscript"/>
        </w:rPr>
        <w:t> Using accounting rate of return method, select the best investment proposal for the compan</w:t>
      </w:r>
      <w:r w:rsidR="00F92533" w:rsidRPr="00F92533">
        <w:rPr>
          <w:rFonts w:asciiTheme="majorHAnsi" w:hAnsiTheme="majorHAnsi" w:cs="Arial"/>
          <w:color w:val="454545"/>
          <w:sz w:val="28"/>
          <w:szCs w:val="28"/>
          <w:vertAlign w:val="superscript"/>
        </w:rPr>
        <w:t>ies.</w:t>
      </w:r>
    </w:p>
    <w:p w:rsidR="006823F6" w:rsidRPr="00F92533" w:rsidRDefault="006823F6">
      <w:pPr>
        <w:rPr>
          <w:rFonts w:asciiTheme="majorHAnsi" w:hAnsiTheme="majorHAnsi"/>
          <w:sz w:val="28"/>
          <w:szCs w:val="28"/>
          <w:vertAlign w:val="superscript"/>
        </w:rPr>
      </w:pPr>
    </w:p>
    <w:sectPr w:rsidR="006823F6" w:rsidRPr="00F92533" w:rsidSect="00271589">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CC5" w:rsidRDefault="00417CC5" w:rsidP="00F92533">
      <w:pPr>
        <w:spacing w:after="0" w:line="240" w:lineRule="auto"/>
      </w:pPr>
      <w:r>
        <w:separator/>
      </w:r>
    </w:p>
  </w:endnote>
  <w:endnote w:type="continuationSeparator" w:id="1">
    <w:p w:rsidR="00417CC5" w:rsidRDefault="00417CC5" w:rsidP="00F925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CC5" w:rsidRDefault="00417CC5" w:rsidP="00F92533">
      <w:pPr>
        <w:spacing w:after="0" w:line="240" w:lineRule="auto"/>
      </w:pPr>
      <w:r>
        <w:separator/>
      </w:r>
    </w:p>
  </w:footnote>
  <w:footnote w:type="continuationSeparator" w:id="1">
    <w:p w:rsidR="00417CC5" w:rsidRDefault="00417CC5" w:rsidP="00F925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33" w:rsidRPr="00F92533" w:rsidRDefault="00F92533">
    <w:pPr>
      <w:pStyle w:val="Header"/>
      <w:rPr>
        <w:b/>
        <w:sz w:val="28"/>
        <w:szCs w:val="28"/>
      </w:rPr>
    </w:pPr>
    <w:r w:rsidRPr="00F92533">
      <w:rPr>
        <w:b/>
        <w:sz w:val="28"/>
        <w:szCs w:val="28"/>
      </w:rPr>
      <w:t xml:space="preserve">ARR Practice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A58E0"/>
    <w:multiLevelType w:val="multilevel"/>
    <w:tmpl w:val="1DE4F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402EBC"/>
    <w:multiLevelType w:val="multilevel"/>
    <w:tmpl w:val="31643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EF526E"/>
    <w:multiLevelType w:val="multilevel"/>
    <w:tmpl w:val="0F407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0"/>
    <w:footnote w:id="1"/>
  </w:footnotePr>
  <w:endnotePr>
    <w:endnote w:id="0"/>
    <w:endnote w:id="1"/>
  </w:endnotePr>
  <w:compat>
    <w:useFELayout/>
  </w:compat>
  <w:rsids>
    <w:rsidRoot w:val="006823F6"/>
    <w:rsid w:val="00271589"/>
    <w:rsid w:val="00417CC5"/>
    <w:rsid w:val="006823F6"/>
    <w:rsid w:val="00762CB4"/>
    <w:rsid w:val="007E493B"/>
    <w:rsid w:val="007F0721"/>
    <w:rsid w:val="00C777BD"/>
    <w:rsid w:val="00F925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589"/>
  </w:style>
  <w:style w:type="paragraph" w:styleId="Heading2">
    <w:name w:val="heading 2"/>
    <w:basedOn w:val="Normal"/>
    <w:link w:val="Heading2Char"/>
    <w:uiPriority w:val="9"/>
    <w:qFormat/>
    <w:rsid w:val="006823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23F6"/>
    <w:rPr>
      <w:rFonts w:ascii="Times New Roman" w:eastAsia="Times New Roman" w:hAnsi="Times New Roman" w:cs="Times New Roman"/>
      <w:b/>
      <w:bCs/>
      <w:sz w:val="36"/>
      <w:szCs w:val="36"/>
    </w:rPr>
  </w:style>
  <w:style w:type="paragraph" w:styleId="NormalWeb">
    <w:name w:val="Normal (Web)"/>
    <w:basedOn w:val="Normal"/>
    <w:uiPriority w:val="99"/>
    <w:unhideWhenUsed/>
    <w:rsid w:val="006823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23F6"/>
    <w:rPr>
      <w:color w:val="0000FF"/>
      <w:u w:val="single"/>
    </w:rPr>
  </w:style>
  <w:style w:type="character" w:styleId="Strong">
    <w:name w:val="Strong"/>
    <w:basedOn w:val="DefaultParagraphFont"/>
    <w:uiPriority w:val="22"/>
    <w:qFormat/>
    <w:rsid w:val="006823F6"/>
    <w:rPr>
      <w:b/>
      <w:bCs/>
    </w:rPr>
  </w:style>
  <w:style w:type="paragraph" w:styleId="BalloonText">
    <w:name w:val="Balloon Text"/>
    <w:basedOn w:val="Normal"/>
    <w:link w:val="BalloonTextChar"/>
    <w:uiPriority w:val="99"/>
    <w:semiHidden/>
    <w:unhideWhenUsed/>
    <w:rsid w:val="00682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3F6"/>
    <w:rPr>
      <w:rFonts w:ascii="Tahoma" w:hAnsi="Tahoma" w:cs="Tahoma"/>
      <w:sz w:val="16"/>
      <w:szCs w:val="16"/>
    </w:rPr>
  </w:style>
  <w:style w:type="paragraph" w:styleId="Header">
    <w:name w:val="header"/>
    <w:basedOn w:val="Normal"/>
    <w:link w:val="HeaderChar"/>
    <w:uiPriority w:val="99"/>
    <w:semiHidden/>
    <w:unhideWhenUsed/>
    <w:rsid w:val="00F925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2533"/>
  </w:style>
  <w:style w:type="paragraph" w:styleId="Footer">
    <w:name w:val="footer"/>
    <w:basedOn w:val="Normal"/>
    <w:link w:val="FooterChar"/>
    <w:uiPriority w:val="99"/>
    <w:semiHidden/>
    <w:unhideWhenUsed/>
    <w:rsid w:val="00F925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2533"/>
  </w:style>
</w:styles>
</file>

<file path=word/webSettings.xml><?xml version="1.0" encoding="utf-8"?>
<w:webSettings xmlns:r="http://schemas.openxmlformats.org/officeDocument/2006/relationships" xmlns:w="http://schemas.openxmlformats.org/wordprocessingml/2006/main">
  <w:divs>
    <w:div w:id="59252113">
      <w:bodyDiv w:val="1"/>
      <w:marLeft w:val="0"/>
      <w:marRight w:val="0"/>
      <w:marTop w:val="0"/>
      <w:marBottom w:val="0"/>
      <w:divBdr>
        <w:top w:val="none" w:sz="0" w:space="0" w:color="auto"/>
        <w:left w:val="none" w:sz="0" w:space="0" w:color="auto"/>
        <w:bottom w:val="none" w:sz="0" w:space="0" w:color="auto"/>
        <w:right w:val="none" w:sz="0" w:space="0" w:color="auto"/>
      </w:divBdr>
    </w:div>
    <w:div w:id="592709234">
      <w:bodyDiv w:val="1"/>
      <w:marLeft w:val="0"/>
      <w:marRight w:val="0"/>
      <w:marTop w:val="0"/>
      <w:marBottom w:val="0"/>
      <w:divBdr>
        <w:top w:val="none" w:sz="0" w:space="0" w:color="auto"/>
        <w:left w:val="none" w:sz="0" w:space="0" w:color="auto"/>
        <w:bottom w:val="none" w:sz="0" w:space="0" w:color="auto"/>
        <w:right w:val="none" w:sz="0" w:space="0" w:color="auto"/>
      </w:divBdr>
    </w:div>
    <w:div w:id="1022707828">
      <w:bodyDiv w:val="1"/>
      <w:marLeft w:val="0"/>
      <w:marRight w:val="0"/>
      <w:marTop w:val="0"/>
      <w:marBottom w:val="0"/>
      <w:divBdr>
        <w:top w:val="none" w:sz="0" w:space="0" w:color="auto"/>
        <w:left w:val="none" w:sz="0" w:space="0" w:color="auto"/>
        <w:bottom w:val="none" w:sz="0" w:space="0" w:color="auto"/>
        <w:right w:val="none" w:sz="0" w:space="0" w:color="auto"/>
      </w:divBdr>
    </w:div>
    <w:div w:id="1025521076">
      <w:bodyDiv w:val="1"/>
      <w:marLeft w:val="0"/>
      <w:marRight w:val="0"/>
      <w:marTop w:val="0"/>
      <w:marBottom w:val="0"/>
      <w:divBdr>
        <w:top w:val="none" w:sz="0" w:space="0" w:color="auto"/>
        <w:left w:val="none" w:sz="0" w:space="0" w:color="auto"/>
        <w:bottom w:val="none" w:sz="0" w:space="0" w:color="auto"/>
        <w:right w:val="none" w:sz="0" w:space="0" w:color="auto"/>
      </w:divBdr>
    </w:div>
    <w:div w:id="1087925610">
      <w:bodyDiv w:val="1"/>
      <w:marLeft w:val="0"/>
      <w:marRight w:val="0"/>
      <w:marTop w:val="0"/>
      <w:marBottom w:val="0"/>
      <w:divBdr>
        <w:top w:val="none" w:sz="0" w:space="0" w:color="auto"/>
        <w:left w:val="none" w:sz="0" w:space="0" w:color="auto"/>
        <w:bottom w:val="none" w:sz="0" w:space="0" w:color="auto"/>
        <w:right w:val="none" w:sz="0" w:space="0" w:color="auto"/>
      </w:divBdr>
    </w:div>
    <w:div w:id="1351642956">
      <w:bodyDiv w:val="1"/>
      <w:marLeft w:val="0"/>
      <w:marRight w:val="0"/>
      <w:marTop w:val="0"/>
      <w:marBottom w:val="0"/>
      <w:divBdr>
        <w:top w:val="none" w:sz="0" w:space="0" w:color="auto"/>
        <w:left w:val="none" w:sz="0" w:space="0" w:color="auto"/>
        <w:bottom w:val="none" w:sz="0" w:space="0" w:color="auto"/>
        <w:right w:val="none" w:sz="0" w:space="0" w:color="auto"/>
      </w:divBdr>
    </w:div>
    <w:div w:id="1532953255">
      <w:bodyDiv w:val="1"/>
      <w:marLeft w:val="0"/>
      <w:marRight w:val="0"/>
      <w:marTop w:val="0"/>
      <w:marBottom w:val="0"/>
      <w:divBdr>
        <w:top w:val="none" w:sz="0" w:space="0" w:color="auto"/>
        <w:left w:val="none" w:sz="0" w:space="0" w:color="auto"/>
        <w:bottom w:val="none" w:sz="0" w:space="0" w:color="auto"/>
        <w:right w:val="none" w:sz="0" w:space="0" w:color="auto"/>
      </w:divBdr>
    </w:div>
    <w:div w:id="189026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plaind.com/325604/time-value-of-mone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xplaind.com/849768/payback-period"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accountingformanagement.org/wp-content/uploads/2013/01/accounting-rate-of-return-method-img3.png" TargetMode="External"/><Relationship Id="rId4" Type="http://schemas.openxmlformats.org/officeDocument/2006/relationships/webSettings" Target="webSettings.xml"/><Relationship Id="rId9" Type="http://schemas.openxmlformats.org/officeDocument/2006/relationships/hyperlink" Target="https://xplaind.com/480282/straight-line-depreci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Bappi Jan</dc:creator>
  <cp:keywords/>
  <dc:description/>
  <cp:lastModifiedBy>Bappi Jan</cp:lastModifiedBy>
  <cp:revision>4</cp:revision>
  <dcterms:created xsi:type="dcterms:W3CDTF">2019-10-08T19:11:00Z</dcterms:created>
  <dcterms:modified xsi:type="dcterms:W3CDTF">2019-10-08T20:23:00Z</dcterms:modified>
</cp:coreProperties>
</file>