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D7" w:rsidRPr="006E2FD7" w:rsidRDefault="006E2FD7" w:rsidP="006E2FD7">
      <w:pPr>
        <w:pStyle w:val="Heading3"/>
        <w:spacing w:before="277"/>
        <w:ind w:left="286"/>
        <w:rPr>
          <w:color w:val="auto"/>
        </w:rPr>
      </w:pPr>
      <w:r w:rsidRPr="006E2FD7">
        <w:rPr>
          <w:color w:val="auto"/>
        </w:rPr>
        <w:t>TEMPORARY ORDERS IN URGENT CASES OF NUINANCE OR APPREHANDED</w:t>
      </w:r>
      <w:r w:rsidRPr="006E2FD7">
        <w:rPr>
          <w:color w:val="auto"/>
          <w:spacing w:val="77"/>
        </w:rPr>
        <w:t xml:space="preserve"> </w:t>
      </w:r>
      <w:r w:rsidRPr="006E2FD7">
        <w:rPr>
          <w:color w:val="auto"/>
        </w:rPr>
        <w:t>DANGER</w:t>
      </w:r>
    </w:p>
    <w:p w:rsidR="006E2FD7" w:rsidRDefault="006E2FD7" w:rsidP="006E2FD7">
      <w:pPr>
        <w:pStyle w:val="BodyText"/>
        <w:spacing w:before="10"/>
        <w:rPr>
          <w:b/>
          <w:sz w:val="23"/>
        </w:rPr>
      </w:pPr>
    </w:p>
    <w:p w:rsidR="006E2FD7" w:rsidRDefault="006E2FD7" w:rsidP="00164B28">
      <w:pPr>
        <w:pStyle w:val="ListParagraph"/>
        <w:numPr>
          <w:ilvl w:val="0"/>
          <w:numId w:val="1"/>
        </w:numPr>
        <w:tabs>
          <w:tab w:val="left" w:pos="753"/>
        </w:tabs>
        <w:ind w:right="1764" w:firstLine="0"/>
        <w:rPr>
          <w:sz w:val="24"/>
        </w:rPr>
      </w:pPr>
      <w:r>
        <w:rPr>
          <w:b/>
          <w:sz w:val="24"/>
        </w:rPr>
        <w:t>Power to issue order absolute at once in urgent cases of nuisance or apprehended</w:t>
      </w:r>
      <w:r>
        <w:rPr>
          <w:b/>
          <w:spacing w:val="-4"/>
          <w:sz w:val="24"/>
        </w:rPr>
        <w:t xml:space="preserve"> </w:t>
      </w:r>
      <w:r>
        <w:rPr>
          <w:b/>
          <w:sz w:val="24"/>
        </w:rPr>
        <w:t>danger:</w:t>
      </w:r>
      <w:r>
        <w:rPr>
          <w:b/>
          <w:spacing w:val="-4"/>
          <w:sz w:val="24"/>
        </w:rPr>
        <w:t xml:space="preserve"> </w:t>
      </w:r>
      <w:r>
        <w:rPr>
          <w:sz w:val="24"/>
        </w:rPr>
        <w:t>(1)</w:t>
      </w:r>
      <w:r>
        <w:rPr>
          <w:spacing w:val="-4"/>
          <w:sz w:val="24"/>
        </w:rPr>
        <w:t xml:space="preserve"> </w:t>
      </w:r>
      <w:r>
        <w:rPr>
          <w:sz w:val="24"/>
        </w:rPr>
        <w:t>in</w:t>
      </w:r>
      <w:r>
        <w:rPr>
          <w:spacing w:val="-3"/>
          <w:sz w:val="24"/>
        </w:rPr>
        <w:t xml:space="preserve"> </w:t>
      </w:r>
      <w:r>
        <w:rPr>
          <w:sz w:val="24"/>
        </w:rPr>
        <w:t>cases</w:t>
      </w:r>
      <w:r>
        <w:rPr>
          <w:spacing w:val="-4"/>
          <w:sz w:val="24"/>
        </w:rPr>
        <w:t xml:space="preserve"> </w:t>
      </w:r>
      <w:r>
        <w:rPr>
          <w:sz w:val="24"/>
        </w:rPr>
        <w:t>where,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opinion</w:t>
      </w:r>
      <w:r>
        <w:rPr>
          <w:spacing w:val="-4"/>
          <w:sz w:val="24"/>
        </w:rPr>
        <w:t xml:space="preserve"> </w:t>
      </w:r>
      <w:r>
        <w:rPr>
          <w:sz w:val="24"/>
        </w:rPr>
        <w:t>of</w:t>
      </w:r>
      <w:r>
        <w:rPr>
          <w:spacing w:val="-5"/>
          <w:sz w:val="24"/>
        </w:rPr>
        <w:t xml:space="preserve"> </w:t>
      </w:r>
      <w:r>
        <w:rPr>
          <w:i/>
          <w:sz w:val="24"/>
        </w:rPr>
        <w:t>[the</w:t>
      </w:r>
      <w:r>
        <w:rPr>
          <w:i/>
          <w:spacing w:val="-4"/>
          <w:sz w:val="24"/>
        </w:rPr>
        <w:t xml:space="preserve"> </w:t>
      </w:r>
      <w:proofErr w:type="spellStart"/>
      <w:r>
        <w:rPr>
          <w:i/>
          <w:sz w:val="24"/>
        </w:rPr>
        <w:t>Zila</w:t>
      </w:r>
      <w:proofErr w:type="spellEnd"/>
      <w:r>
        <w:rPr>
          <w:i/>
          <w:spacing w:val="-4"/>
          <w:sz w:val="24"/>
        </w:rPr>
        <w:t xml:space="preserve"> </w:t>
      </w:r>
      <w:proofErr w:type="spellStart"/>
      <w:r>
        <w:rPr>
          <w:i/>
          <w:sz w:val="24"/>
        </w:rPr>
        <w:t>Nazim</w:t>
      </w:r>
      <w:proofErr w:type="spellEnd"/>
      <w:r>
        <w:rPr>
          <w:i/>
          <w:spacing w:val="-5"/>
          <w:sz w:val="24"/>
        </w:rPr>
        <w:t xml:space="preserve"> </w:t>
      </w:r>
      <w:r>
        <w:rPr>
          <w:i/>
          <w:sz w:val="24"/>
        </w:rPr>
        <w:t>upon</w:t>
      </w:r>
      <w:r>
        <w:rPr>
          <w:i/>
          <w:spacing w:val="-4"/>
          <w:sz w:val="24"/>
        </w:rPr>
        <w:t xml:space="preserve"> </w:t>
      </w:r>
      <w:r>
        <w:rPr>
          <w:i/>
          <w:sz w:val="24"/>
        </w:rPr>
        <w:t xml:space="preserve">the written recommendation of the District Superintendent of Police or Executive District Officer] </w:t>
      </w:r>
      <w:r>
        <w:rPr>
          <w:sz w:val="24"/>
        </w:rPr>
        <w:t>there is sufficient ground for proceeding under this section and immediate prevention or speedy remedy is</w:t>
      </w:r>
      <w:r>
        <w:rPr>
          <w:spacing w:val="-3"/>
          <w:sz w:val="24"/>
        </w:rPr>
        <w:t xml:space="preserve"> </w:t>
      </w:r>
      <w:r>
        <w:rPr>
          <w:sz w:val="24"/>
        </w:rPr>
        <w:t>desirable.</w:t>
      </w:r>
    </w:p>
    <w:p w:rsidR="006E2FD7" w:rsidRDefault="006E2FD7" w:rsidP="006E2FD7">
      <w:pPr>
        <w:pStyle w:val="BodyText"/>
        <w:spacing w:before="10"/>
        <w:rPr>
          <w:sz w:val="23"/>
        </w:rPr>
      </w:pPr>
    </w:p>
    <w:p w:rsidR="006E2FD7" w:rsidRDefault="006E2FD7" w:rsidP="006E2FD7">
      <w:pPr>
        <w:pStyle w:val="BodyText"/>
        <w:ind w:left="218" w:right="1131"/>
      </w:pPr>
      <w:r>
        <w:rPr>
          <w:i/>
        </w:rPr>
        <w:t xml:space="preserve">[the </w:t>
      </w:r>
      <w:proofErr w:type="spellStart"/>
      <w:r>
        <w:rPr>
          <w:i/>
        </w:rPr>
        <w:t>Zila</w:t>
      </w:r>
      <w:proofErr w:type="spellEnd"/>
      <w:r>
        <w:rPr>
          <w:i/>
        </w:rPr>
        <w:t xml:space="preserve"> </w:t>
      </w:r>
      <w:proofErr w:type="spellStart"/>
      <w:r>
        <w:rPr>
          <w:i/>
        </w:rPr>
        <w:t>Nazim</w:t>
      </w:r>
      <w:proofErr w:type="spellEnd"/>
      <w:r>
        <w:rPr>
          <w:i/>
        </w:rPr>
        <w:t xml:space="preserve">] </w:t>
      </w:r>
      <w:r>
        <w:t xml:space="preserve">may, by a written order stating the material facts of the case and served in manner provided by Section 134, direct any person to abstain from a certain act or take certain order with certain property in his possession or under his management, if such Magistrate considers that such direction is likely to prevent, or tends to prevent, obstruction, annoyance or injury, or risk of obstruction, annoyance or injury, to any person lawfully employed, or </w:t>
      </w:r>
      <w:proofErr w:type="spellStart"/>
      <w:r>
        <w:t>clanger</w:t>
      </w:r>
      <w:proofErr w:type="spellEnd"/>
      <w:r>
        <w:t xml:space="preserve"> to human life, health or safety, or a disturbance of the public </w:t>
      </w:r>
      <w:proofErr w:type="spellStart"/>
      <w:r>
        <w:t>tranquillity</w:t>
      </w:r>
      <w:proofErr w:type="spellEnd"/>
      <w:r>
        <w:t>, or a riot, or an affray.</w:t>
      </w:r>
    </w:p>
    <w:p w:rsidR="006E2FD7" w:rsidRDefault="006E2FD7" w:rsidP="006E2FD7">
      <w:pPr>
        <w:sectPr w:rsidR="006E2FD7">
          <w:pgSz w:w="12240" w:h="15840"/>
          <w:pgMar w:top="1500" w:right="180" w:bottom="280" w:left="1100" w:header="720" w:footer="720" w:gutter="0"/>
          <w:cols w:space="720"/>
        </w:sectPr>
      </w:pPr>
    </w:p>
    <w:p w:rsidR="006E2FD7" w:rsidRDefault="006E2FD7" w:rsidP="006E2FD7">
      <w:pPr>
        <w:pStyle w:val="BodyText"/>
        <w:spacing w:before="5"/>
        <w:rPr>
          <w:sz w:val="10"/>
        </w:rPr>
      </w:pPr>
    </w:p>
    <w:p w:rsidR="006E2FD7" w:rsidRDefault="006E2FD7" w:rsidP="00164B28">
      <w:pPr>
        <w:pStyle w:val="ListParagraph"/>
        <w:numPr>
          <w:ilvl w:val="0"/>
          <w:numId w:val="2"/>
        </w:numPr>
        <w:tabs>
          <w:tab w:val="left" w:pos="647"/>
        </w:tabs>
        <w:spacing w:before="93"/>
        <w:ind w:right="1255" w:firstLine="67"/>
        <w:jc w:val="left"/>
        <w:rPr>
          <w:sz w:val="24"/>
        </w:rPr>
      </w:pPr>
      <w:r>
        <w:rPr>
          <w:sz w:val="24"/>
        </w:rPr>
        <w:t xml:space="preserve">An order under this section may, in case of emergency or </w:t>
      </w:r>
      <w:proofErr w:type="gramStart"/>
      <w:r>
        <w:rPr>
          <w:sz w:val="24"/>
        </w:rPr>
        <w:t>In</w:t>
      </w:r>
      <w:proofErr w:type="gramEnd"/>
      <w:r>
        <w:rPr>
          <w:sz w:val="24"/>
        </w:rPr>
        <w:t xml:space="preserve"> cases where the circumstances do not admit of the serving in due time of a notice upon the person</w:t>
      </w:r>
      <w:r>
        <w:rPr>
          <w:spacing w:val="-37"/>
          <w:sz w:val="24"/>
        </w:rPr>
        <w:t xml:space="preserve"> </w:t>
      </w:r>
      <w:r>
        <w:rPr>
          <w:sz w:val="24"/>
        </w:rPr>
        <w:t>against whom the order is directed, be passed,</w:t>
      </w:r>
      <w:r>
        <w:rPr>
          <w:spacing w:val="-1"/>
          <w:sz w:val="24"/>
        </w:rPr>
        <w:t xml:space="preserve"> </w:t>
      </w:r>
      <w:proofErr w:type="spellStart"/>
      <w:r>
        <w:rPr>
          <w:sz w:val="24"/>
        </w:rPr>
        <w:t>exparte</w:t>
      </w:r>
      <w:proofErr w:type="spellEnd"/>
      <w:r>
        <w:rPr>
          <w:sz w:val="24"/>
        </w:rPr>
        <w:t>.</w:t>
      </w:r>
    </w:p>
    <w:p w:rsidR="006E2FD7" w:rsidRDefault="006E2FD7" w:rsidP="006E2FD7">
      <w:pPr>
        <w:pStyle w:val="BodyText"/>
        <w:spacing w:before="11"/>
        <w:rPr>
          <w:sz w:val="23"/>
        </w:rPr>
      </w:pPr>
    </w:p>
    <w:p w:rsidR="006E2FD7" w:rsidRDefault="006E2FD7" w:rsidP="00164B28">
      <w:pPr>
        <w:pStyle w:val="ListParagraph"/>
        <w:numPr>
          <w:ilvl w:val="0"/>
          <w:numId w:val="2"/>
        </w:numPr>
        <w:tabs>
          <w:tab w:val="left" w:pos="580"/>
        </w:tabs>
        <w:ind w:right="1439" w:firstLine="0"/>
        <w:jc w:val="left"/>
        <w:rPr>
          <w:sz w:val="24"/>
        </w:rPr>
      </w:pPr>
      <w:r>
        <w:rPr>
          <w:sz w:val="24"/>
        </w:rPr>
        <w:t xml:space="preserve">An order under this section may be directed to a particular </w:t>
      </w:r>
      <w:proofErr w:type="gramStart"/>
      <w:r>
        <w:rPr>
          <w:sz w:val="24"/>
        </w:rPr>
        <w:t>individual,</w:t>
      </w:r>
      <w:proofErr w:type="gramEnd"/>
      <w:r>
        <w:rPr>
          <w:sz w:val="24"/>
        </w:rPr>
        <w:t xml:space="preserve"> or to the public generally when frequenting or visiting a particular</w:t>
      </w:r>
      <w:r>
        <w:rPr>
          <w:spacing w:val="-6"/>
          <w:sz w:val="24"/>
        </w:rPr>
        <w:t xml:space="preserve"> </w:t>
      </w:r>
      <w:r>
        <w:rPr>
          <w:sz w:val="24"/>
        </w:rPr>
        <w:t>place.</w:t>
      </w:r>
    </w:p>
    <w:p w:rsidR="006E2FD7" w:rsidRDefault="006E2FD7" w:rsidP="006E2FD7">
      <w:pPr>
        <w:pStyle w:val="BodyText"/>
      </w:pPr>
    </w:p>
    <w:p w:rsidR="006E2FD7" w:rsidRDefault="006E2FD7" w:rsidP="00164B28">
      <w:pPr>
        <w:pStyle w:val="ListParagraph"/>
        <w:numPr>
          <w:ilvl w:val="0"/>
          <w:numId w:val="2"/>
        </w:numPr>
        <w:tabs>
          <w:tab w:val="left" w:pos="581"/>
        </w:tabs>
        <w:ind w:right="1560" w:firstLine="0"/>
        <w:jc w:val="left"/>
        <w:rPr>
          <w:sz w:val="24"/>
        </w:rPr>
      </w:pPr>
      <w:r>
        <w:rPr>
          <w:i/>
          <w:sz w:val="24"/>
        </w:rPr>
        <w:t xml:space="preserve">[The </w:t>
      </w:r>
      <w:proofErr w:type="spellStart"/>
      <w:r>
        <w:rPr>
          <w:i/>
          <w:sz w:val="24"/>
        </w:rPr>
        <w:t>Zila</w:t>
      </w:r>
      <w:proofErr w:type="spellEnd"/>
      <w:r>
        <w:rPr>
          <w:i/>
          <w:sz w:val="24"/>
        </w:rPr>
        <w:t xml:space="preserve"> </w:t>
      </w:r>
      <w:proofErr w:type="spellStart"/>
      <w:r>
        <w:rPr>
          <w:i/>
          <w:sz w:val="24"/>
        </w:rPr>
        <w:t>Nazim</w:t>
      </w:r>
      <w:proofErr w:type="spellEnd"/>
      <w:r>
        <w:rPr>
          <w:i/>
          <w:sz w:val="24"/>
        </w:rPr>
        <w:t xml:space="preserve">] </w:t>
      </w:r>
      <w:r>
        <w:rPr>
          <w:sz w:val="24"/>
        </w:rPr>
        <w:t>may, either, on his own motion or on the application of any person aggrieved, rescind or alter any order made under this section by himself or by his predecessor-in-office.</w:t>
      </w:r>
    </w:p>
    <w:p w:rsidR="006E2FD7" w:rsidRDefault="006E2FD7" w:rsidP="006E2FD7">
      <w:pPr>
        <w:pStyle w:val="BodyText"/>
      </w:pPr>
    </w:p>
    <w:p w:rsidR="006E2FD7" w:rsidRDefault="006E2FD7" w:rsidP="00164B28">
      <w:pPr>
        <w:pStyle w:val="ListParagraph"/>
        <w:numPr>
          <w:ilvl w:val="0"/>
          <w:numId w:val="2"/>
        </w:numPr>
        <w:tabs>
          <w:tab w:val="left" w:pos="580"/>
        </w:tabs>
        <w:ind w:right="1174" w:firstLine="0"/>
        <w:jc w:val="left"/>
        <w:rPr>
          <w:sz w:val="24"/>
        </w:rPr>
      </w:pPr>
      <w:r>
        <w:rPr>
          <w:sz w:val="24"/>
        </w:rPr>
        <w:t xml:space="preserve">Where such an application is received, the Magistrate shall afford to the applicant an early opportunity of appearing before him either in person or by pleader and showing cause against the order; and, if the </w:t>
      </w:r>
      <w:r>
        <w:rPr>
          <w:i/>
          <w:sz w:val="24"/>
        </w:rPr>
        <w:t>[</w:t>
      </w:r>
      <w:proofErr w:type="spellStart"/>
      <w:r>
        <w:rPr>
          <w:i/>
          <w:sz w:val="24"/>
        </w:rPr>
        <w:t>Zila</w:t>
      </w:r>
      <w:proofErr w:type="spellEnd"/>
      <w:r>
        <w:rPr>
          <w:i/>
          <w:sz w:val="24"/>
        </w:rPr>
        <w:t xml:space="preserve"> </w:t>
      </w:r>
      <w:proofErr w:type="spellStart"/>
      <w:r>
        <w:rPr>
          <w:i/>
          <w:sz w:val="24"/>
        </w:rPr>
        <w:t>Nazim</w:t>
      </w:r>
      <w:proofErr w:type="spellEnd"/>
      <w:r>
        <w:rPr>
          <w:i/>
          <w:sz w:val="24"/>
        </w:rPr>
        <w:t xml:space="preserve">] </w:t>
      </w:r>
      <w:r>
        <w:rPr>
          <w:sz w:val="24"/>
        </w:rPr>
        <w:t>rejects the application wholly or in part, he shall record in writing his reasons for so</w:t>
      </w:r>
      <w:r>
        <w:rPr>
          <w:spacing w:val="-3"/>
          <w:sz w:val="24"/>
        </w:rPr>
        <w:t xml:space="preserve"> </w:t>
      </w:r>
      <w:r>
        <w:rPr>
          <w:sz w:val="24"/>
        </w:rPr>
        <w:t>doing.</w:t>
      </w:r>
    </w:p>
    <w:p w:rsidR="006E2FD7" w:rsidRDefault="006E2FD7" w:rsidP="006E2FD7">
      <w:pPr>
        <w:pStyle w:val="BodyText"/>
      </w:pPr>
    </w:p>
    <w:p w:rsidR="006E2FD7" w:rsidRDefault="006E2FD7" w:rsidP="00164B28">
      <w:pPr>
        <w:pStyle w:val="ListParagraph"/>
        <w:numPr>
          <w:ilvl w:val="0"/>
          <w:numId w:val="2"/>
        </w:numPr>
        <w:tabs>
          <w:tab w:val="left" w:pos="579"/>
        </w:tabs>
        <w:ind w:right="1175" w:firstLine="0"/>
        <w:jc w:val="left"/>
        <w:rPr>
          <w:sz w:val="24"/>
        </w:rPr>
      </w:pPr>
      <w:r>
        <w:rPr>
          <w:sz w:val="24"/>
        </w:rPr>
        <w:t>No order under this section shall remain in force for more than two 39[consecutive days and not more than seven days in a month] from the making thereof; unless, in cases of</w:t>
      </w:r>
      <w:r>
        <w:rPr>
          <w:spacing w:val="-4"/>
          <w:sz w:val="24"/>
        </w:rPr>
        <w:t xml:space="preserve"> </w:t>
      </w:r>
      <w:r>
        <w:rPr>
          <w:sz w:val="24"/>
        </w:rPr>
        <w:t>danger</w:t>
      </w:r>
      <w:r>
        <w:rPr>
          <w:spacing w:val="-3"/>
          <w:sz w:val="24"/>
        </w:rPr>
        <w:t xml:space="preserve"> </w:t>
      </w:r>
      <w:r>
        <w:rPr>
          <w:sz w:val="24"/>
        </w:rPr>
        <w:t>to</w:t>
      </w:r>
      <w:r>
        <w:rPr>
          <w:spacing w:val="-4"/>
          <w:sz w:val="24"/>
        </w:rPr>
        <w:t xml:space="preserve"> </w:t>
      </w:r>
      <w:r>
        <w:rPr>
          <w:sz w:val="24"/>
        </w:rPr>
        <w:t>human</w:t>
      </w:r>
      <w:r>
        <w:rPr>
          <w:spacing w:val="-3"/>
          <w:sz w:val="24"/>
        </w:rPr>
        <w:t xml:space="preserve"> </w:t>
      </w:r>
      <w:r>
        <w:rPr>
          <w:sz w:val="24"/>
        </w:rPr>
        <w:t>life,</w:t>
      </w:r>
      <w:r>
        <w:rPr>
          <w:spacing w:val="-3"/>
          <w:sz w:val="24"/>
        </w:rPr>
        <w:t xml:space="preserve"> </w:t>
      </w:r>
      <w:r>
        <w:rPr>
          <w:sz w:val="24"/>
        </w:rPr>
        <w:t>health</w:t>
      </w:r>
      <w:r>
        <w:rPr>
          <w:spacing w:val="-4"/>
          <w:sz w:val="24"/>
        </w:rPr>
        <w:t xml:space="preserve"> </w:t>
      </w:r>
      <w:r>
        <w:rPr>
          <w:sz w:val="24"/>
        </w:rPr>
        <w:t>or</w:t>
      </w:r>
      <w:r>
        <w:rPr>
          <w:spacing w:val="-3"/>
          <w:sz w:val="24"/>
        </w:rPr>
        <w:t xml:space="preserve"> </w:t>
      </w:r>
      <w:r>
        <w:rPr>
          <w:sz w:val="24"/>
        </w:rPr>
        <w:t>safety,</w:t>
      </w:r>
      <w:r>
        <w:rPr>
          <w:spacing w:val="-4"/>
          <w:sz w:val="24"/>
        </w:rPr>
        <w:t xml:space="preserve"> </w:t>
      </w:r>
      <w:r>
        <w:rPr>
          <w:sz w:val="24"/>
        </w:rPr>
        <w:t>or</w:t>
      </w:r>
      <w:r>
        <w:rPr>
          <w:spacing w:val="-3"/>
          <w:sz w:val="24"/>
        </w:rPr>
        <w:t xml:space="preserve"> </w:t>
      </w:r>
      <w:r>
        <w:rPr>
          <w:sz w:val="24"/>
        </w:rPr>
        <w:t>a</w:t>
      </w:r>
      <w:r>
        <w:rPr>
          <w:spacing w:val="-3"/>
          <w:sz w:val="24"/>
        </w:rPr>
        <w:t xml:space="preserve"> </w:t>
      </w:r>
      <w:r>
        <w:rPr>
          <w:sz w:val="24"/>
        </w:rPr>
        <w:t>likelihood</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riot</w:t>
      </w:r>
      <w:r>
        <w:rPr>
          <w:spacing w:val="-2"/>
          <w:sz w:val="24"/>
        </w:rPr>
        <w:t xml:space="preserve"> </w:t>
      </w:r>
      <w:r>
        <w:rPr>
          <w:sz w:val="24"/>
        </w:rPr>
        <w:t>or</w:t>
      </w:r>
      <w:r>
        <w:rPr>
          <w:spacing w:val="-3"/>
          <w:sz w:val="24"/>
        </w:rPr>
        <w:t xml:space="preserve"> </w:t>
      </w:r>
      <w:r>
        <w:rPr>
          <w:sz w:val="24"/>
        </w:rPr>
        <w:t>an</w:t>
      </w:r>
      <w:r>
        <w:rPr>
          <w:spacing w:val="-4"/>
          <w:sz w:val="24"/>
        </w:rPr>
        <w:t xml:space="preserve"> </w:t>
      </w:r>
      <w:r>
        <w:rPr>
          <w:sz w:val="24"/>
        </w:rPr>
        <w:t>affray,</w:t>
      </w:r>
      <w:r>
        <w:rPr>
          <w:spacing w:val="-3"/>
          <w:sz w:val="24"/>
        </w:rPr>
        <w:t xml:space="preserve"> </w:t>
      </w:r>
      <w:r>
        <w:rPr>
          <w:sz w:val="24"/>
        </w:rPr>
        <w:t>the</w:t>
      </w:r>
      <w:r>
        <w:rPr>
          <w:spacing w:val="-3"/>
          <w:sz w:val="24"/>
        </w:rPr>
        <w:t xml:space="preserve"> </w:t>
      </w:r>
      <w:r>
        <w:rPr>
          <w:sz w:val="24"/>
        </w:rPr>
        <w:t>Provincial Government, by notification in the official Gazette, otherwise</w:t>
      </w:r>
      <w:r>
        <w:rPr>
          <w:spacing w:val="-2"/>
          <w:sz w:val="24"/>
        </w:rPr>
        <w:t xml:space="preserve"> </w:t>
      </w:r>
      <w:r>
        <w:rPr>
          <w:sz w:val="24"/>
        </w:rPr>
        <w:t>directs.</w:t>
      </w:r>
    </w:p>
    <w:p w:rsidR="006E2FD7" w:rsidRDefault="006E2FD7" w:rsidP="006E2FD7">
      <w:pPr>
        <w:pStyle w:val="BodyText"/>
        <w:spacing w:before="2"/>
      </w:pPr>
    </w:p>
    <w:p w:rsidR="006E2FD7" w:rsidRDefault="006E2FD7" w:rsidP="006E2FD7">
      <w:pPr>
        <w:ind w:left="218" w:right="1197"/>
        <w:rPr>
          <w:i/>
          <w:sz w:val="24"/>
        </w:rPr>
      </w:pPr>
      <w:r>
        <w:rPr>
          <w:i/>
          <w:sz w:val="24"/>
        </w:rPr>
        <w:t xml:space="preserve">[(7) In the application of sub-sections (1) to (6) to the districts where the local Government elections have not been held, or the </w:t>
      </w:r>
      <w:proofErr w:type="spellStart"/>
      <w:r>
        <w:rPr>
          <w:i/>
          <w:sz w:val="24"/>
        </w:rPr>
        <w:t>Zila</w:t>
      </w:r>
      <w:proofErr w:type="spellEnd"/>
      <w:r>
        <w:rPr>
          <w:i/>
          <w:sz w:val="24"/>
        </w:rPr>
        <w:t xml:space="preserve"> </w:t>
      </w:r>
      <w:proofErr w:type="spellStart"/>
      <w:r>
        <w:rPr>
          <w:i/>
          <w:sz w:val="24"/>
        </w:rPr>
        <w:t>Nazim</w:t>
      </w:r>
      <w:proofErr w:type="spellEnd"/>
      <w:r>
        <w:rPr>
          <w:i/>
          <w:sz w:val="24"/>
        </w:rPr>
        <w:t xml:space="preserve"> has not assumed charge of office, any reference in those provisions to the </w:t>
      </w:r>
      <w:proofErr w:type="spellStart"/>
      <w:r>
        <w:rPr>
          <w:i/>
          <w:sz w:val="24"/>
        </w:rPr>
        <w:t>Zila</w:t>
      </w:r>
      <w:proofErr w:type="spellEnd"/>
      <w:r>
        <w:rPr>
          <w:i/>
          <w:sz w:val="24"/>
        </w:rPr>
        <w:t xml:space="preserve"> </w:t>
      </w:r>
      <w:proofErr w:type="spellStart"/>
      <w:r>
        <w:rPr>
          <w:i/>
          <w:sz w:val="24"/>
        </w:rPr>
        <w:t>Nazim</w:t>
      </w:r>
      <w:proofErr w:type="spellEnd"/>
      <w:r>
        <w:rPr>
          <w:i/>
          <w:sz w:val="24"/>
        </w:rPr>
        <w:t xml:space="preserve"> shall be read as a reference to the District Coordination Officer in relation to such districts:</w:t>
      </w:r>
    </w:p>
    <w:p w:rsidR="006E2FD7" w:rsidRDefault="006E2FD7" w:rsidP="006E2FD7">
      <w:pPr>
        <w:pStyle w:val="BodyText"/>
        <w:spacing w:before="10"/>
        <w:rPr>
          <w:i/>
          <w:sz w:val="23"/>
        </w:rPr>
      </w:pPr>
    </w:p>
    <w:p w:rsidR="006E2FD7" w:rsidRDefault="006E2FD7" w:rsidP="006E2FD7">
      <w:pPr>
        <w:ind w:left="218" w:right="1583"/>
        <w:rPr>
          <w:i/>
          <w:sz w:val="24"/>
        </w:rPr>
      </w:pPr>
      <w:r>
        <w:rPr>
          <w:i/>
          <w:sz w:val="24"/>
        </w:rPr>
        <w:t>Provided that this sub-section shall cease to have effect, and shall be deemed to have been repealed, at the time when local Governments are installed in the districts as aforesaid.]</w:t>
      </w:r>
    </w:p>
    <w:p w:rsidR="00164B28" w:rsidRPr="006E2FD7" w:rsidRDefault="00164B28" w:rsidP="006E2FD7"/>
    <w:sectPr w:rsidR="00164B28" w:rsidRPr="006E2FD7">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thic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164B28">
    <w:pPr>
      <w:pStyle w:val="BodyText"/>
      <w:spacing w:line="14" w:lineRule="auto"/>
      <w:rPr>
        <w:sz w:val="20"/>
      </w:rPr>
    </w:pPr>
    <w:r w:rsidRPr="008A0E40">
      <w:pict>
        <v:rect id="_x0000_s2055" style="position:absolute;margin-left:58.1pt;margin-top:780.1pt;width:476.4pt;height:.5pt;z-index:-251650048;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6" type="#_x0000_t202" style="position:absolute;margin-left:58.5pt;margin-top:785.45pt;width:200.5pt;height:21.7pt;z-index:-251649024;mso-position-horizontal-relative:page;mso-position-vertical-relative:page" filled="f" stroked="f">
          <v:textbox inset="0,0,0,0">
            <w:txbxContent>
              <w:p w:rsidR="008A0E40" w:rsidRDefault="00164B28">
                <w:pPr>
                  <w:spacing w:before="28" w:line="249" w:lineRule="auto"/>
                  <w:ind w:left="20" w:right="3"/>
                  <w:rPr>
                    <w:rFonts w:ascii="Gothic Uralic"/>
                    <w:sz w:val="16"/>
                  </w:rPr>
                </w:pPr>
                <w:r>
                  <w:rPr>
                    <w:rFonts w:ascii="Gothic Uralic"/>
                    <w:color w:val="7E7E7E"/>
                    <w:sz w:val="16"/>
                  </w:rPr>
                  <w:t xml:space="preserve">ADB/OECD Anti-Corruption Initiative for Asia Pacific </w:t>
                </w:r>
                <w:hyperlink r:id="rId1">
                  <w:r>
                    <w:rPr>
                      <w:rFonts w:ascii="Gothic Uralic"/>
                      <w:color w:val="0066CC"/>
                      <w:sz w:val="16"/>
                    </w:rPr>
                    <w:t>www.oecd.org/corruption/asiapacific/mla</w:t>
                  </w:r>
                </w:hyperlink>
              </w:p>
            </w:txbxContent>
          </v:textbox>
          <w10:wrap anchorx="page" anchory="page"/>
        </v:shape>
      </w:pict>
    </w:r>
    <w:r w:rsidRPr="008A0E40">
      <w:pict>
        <v:shape id="_x0000_s2057" type="#_x0000_t202" style="position:absolute;margin-left:445.1pt;margin-top:785.45pt;width:88.1pt;height:21.7pt;z-index:-251648000;mso-position-horizontal-relative:page;mso-position-vertical-relative:page" filled="f" stroked="f">
          <v:textbox inset="0,0,0,0">
            <w:txbxContent>
              <w:p w:rsidR="008A0E40" w:rsidRDefault="00164B28">
                <w:pPr>
                  <w:spacing w:before="28" w:line="249" w:lineRule="auto"/>
                  <w:ind w:left="20" w:right="4" w:firstLine="456"/>
                  <w:rPr>
                    <w:rFonts w:ascii="Gothic Uralic"/>
                    <w:sz w:val="16"/>
                  </w:rPr>
                </w:pPr>
                <w:r>
                  <w:rPr>
                    <w:rFonts w:ascii="Gothic Uralic"/>
                    <w:color w:val="7E7E7E"/>
                    <w:sz w:val="16"/>
                  </w:rPr>
                  <w:t xml:space="preserve">September 2007 </w:t>
                </w:r>
                <w:hyperlink r:id="rId2">
                  <w:r>
                    <w:rPr>
                      <w:rFonts w:ascii="Gothic Uralic"/>
                      <w:color w:val="0066CC"/>
                      <w:sz w:val="16"/>
                    </w:rPr>
                    <w:t>asiapacific@oecd.org</w:t>
                  </w:r>
                </w:hyperlink>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164B28">
    <w:pPr>
      <w:pStyle w:val="BodyText"/>
      <w:spacing w:line="14" w:lineRule="auto"/>
      <w:rPr>
        <w:sz w:val="20"/>
      </w:rPr>
    </w:pPr>
    <w:r w:rsidRPr="008A0E40">
      <w:pict>
        <v:rect id="_x0000_s2052" style="position:absolute;margin-left:58.1pt;margin-top:59.75pt;width:476.4pt;height:.5pt;z-index:-251653120;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3" type="#_x0000_t202" style="position:absolute;margin-left:58.5pt;margin-top:41.8pt;width:208.85pt;height:14.25pt;z-index:-251652096;mso-position-horizontal-relative:page;mso-position-vertical-relative:page" filled="f" stroked="f">
          <v:textbox inset="0,0,0,0">
            <w:txbxContent>
              <w:p w:rsidR="008A0E40" w:rsidRDefault="00164B28">
                <w:pPr>
                  <w:spacing w:before="28"/>
                  <w:ind w:left="20"/>
                  <w:rPr>
                    <w:rFonts w:ascii="Gothic Uralic"/>
                    <w:sz w:val="20"/>
                  </w:rPr>
                </w:pPr>
                <w:r>
                  <w:rPr>
                    <w:rFonts w:ascii="Gothic Uralic"/>
                    <w:sz w:val="20"/>
                  </w:rPr>
                  <w:t>Pakistan: Code of Criminal Procedure 1898</w:t>
                </w:r>
              </w:p>
            </w:txbxContent>
          </v:textbox>
          <w10:wrap anchorx="page" anchory="page"/>
        </v:shape>
      </w:pict>
    </w:r>
    <w:r w:rsidRPr="008A0E40">
      <w:pict>
        <v:shape id="_x0000_s2054" type="#_x0000_t202" style="position:absolute;margin-left:513.35pt;margin-top:41.8pt;width:22.7pt;height:14.25pt;z-index:-251651072;mso-position-horizontal-relative:page;mso-position-vertical-relative:page" filled="f" stroked="f">
          <v:textbox inset="0,0,0,0">
            <w:txbxContent>
              <w:p w:rsidR="008A0E40" w:rsidRDefault="00164B28">
                <w:pPr>
                  <w:spacing w:before="28"/>
                  <w:ind w:left="60"/>
                  <w:rPr>
                    <w:rFonts w:ascii="Gothic Uralic"/>
                    <w:sz w:val="20"/>
                  </w:rPr>
                </w:pPr>
                <w:r>
                  <w:fldChar w:fldCharType="begin"/>
                </w:r>
                <w:r>
                  <w:rPr>
                    <w:rFonts w:ascii="Gothic Uralic"/>
                    <w:sz w:val="20"/>
                  </w:rPr>
                  <w:instrText xml:space="preserve"> PAGE </w:instrText>
                </w:r>
                <w:r>
                  <w:fldChar w:fldCharType="separate"/>
                </w:r>
                <w:r w:rsidR="006E2FD7">
                  <w:rPr>
                    <w:rFonts w:ascii="Gothic Uralic"/>
                    <w:noProof/>
                    <w:sz w:val="20"/>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A4F2A"/>
    <w:multiLevelType w:val="hybridMultilevel"/>
    <w:tmpl w:val="9B9C2140"/>
    <w:lvl w:ilvl="0" w:tplc="E7066E1C">
      <w:start w:val="2"/>
      <w:numFmt w:val="decimal"/>
      <w:lvlText w:val="(%1)"/>
      <w:lvlJc w:val="left"/>
      <w:pPr>
        <w:ind w:left="218" w:hanging="361"/>
        <w:jc w:val="right"/>
      </w:pPr>
      <w:rPr>
        <w:rFonts w:ascii="Arial" w:eastAsia="Arial" w:hAnsi="Arial" w:cs="Arial" w:hint="default"/>
        <w:w w:val="99"/>
        <w:sz w:val="24"/>
        <w:szCs w:val="24"/>
        <w:lang w:val="en-US" w:eastAsia="en-US" w:bidi="ar-SA"/>
      </w:rPr>
    </w:lvl>
    <w:lvl w:ilvl="1" w:tplc="C96CF2B4">
      <w:numFmt w:val="bullet"/>
      <w:lvlText w:val="•"/>
      <w:lvlJc w:val="left"/>
      <w:pPr>
        <w:ind w:left="1294" w:hanging="361"/>
      </w:pPr>
      <w:rPr>
        <w:rFonts w:hint="default"/>
        <w:lang w:val="en-US" w:eastAsia="en-US" w:bidi="ar-SA"/>
      </w:rPr>
    </w:lvl>
    <w:lvl w:ilvl="2" w:tplc="8E0C0160">
      <w:numFmt w:val="bullet"/>
      <w:lvlText w:val="•"/>
      <w:lvlJc w:val="left"/>
      <w:pPr>
        <w:ind w:left="2368" w:hanging="361"/>
      </w:pPr>
      <w:rPr>
        <w:rFonts w:hint="default"/>
        <w:lang w:val="en-US" w:eastAsia="en-US" w:bidi="ar-SA"/>
      </w:rPr>
    </w:lvl>
    <w:lvl w:ilvl="3" w:tplc="39667D6C">
      <w:numFmt w:val="bullet"/>
      <w:lvlText w:val="•"/>
      <w:lvlJc w:val="left"/>
      <w:pPr>
        <w:ind w:left="3442" w:hanging="361"/>
      </w:pPr>
      <w:rPr>
        <w:rFonts w:hint="default"/>
        <w:lang w:val="en-US" w:eastAsia="en-US" w:bidi="ar-SA"/>
      </w:rPr>
    </w:lvl>
    <w:lvl w:ilvl="4" w:tplc="F4B2F2FC">
      <w:numFmt w:val="bullet"/>
      <w:lvlText w:val="•"/>
      <w:lvlJc w:val="left"/>
      <w:pPr>
        <w:ind w:left="4516" w:hanging="361"/>
      </w:pPr>
      <w:rPr>
        <w:rFonts w:hint="default"/>
        <w:lang w:val="en-US" w:eastAsia="en-US" w:bidi="ar-SA"/>
      </w:rPr>
    </w:lvl>
    <w:lvl w:ilvl="5" w:tplc="5516ABE2">
      <w:numFmt w:val="bullet"/>
      <w:lvlText w:val="•"/>
      <w:lvlJc w:val="left"/>
      <w:pPr>
        <w:ind w:left="5590" w:hanging="361"/>
      </w:pPr>
      <w:rPr>
        <w:rFonts w:hint="default"/>
        <w:lang w:val="en-US" w:eastAsia="en-US" w:bidi="ar-SA"/>
      </w:rPr>
    </w:lvl>
    <w:lvl w:ilvl="6" w:tplc="81BC78C4">
      <w:numFmt w:val="bullet"/>
      <w:lvlText w:val="•"/>
      <w:lvlJc w:val="left"/>
      <w:pPr>
        <w:ind w:left="6664" w:hanging="361"/>
      </w:pPr>
      <w:rPr>
        <w:rFonts w:hint="default"/>
        <w:lang w:val="en-US" w:eastAsia="en-US" w:bidi="ar-SA"/>
      </w:rPr>
    </w:lvl>
    <w:lvl w:ilvl="7" w:tplc="8C9CD188">
      <w:numFmt w:val="bullet"/>
      <w:lvlText w:val="•"/>
      <w:lvlJc w:val="left"/>
      <w:pPr>
        <w:ind w:left="7738" w:hanging="361"/>
      </w:pPr>
      <w:rPr>
        <w:rFonts w:hint="default"/>
        <w:lang w:val="en-US" w:eastAsia="en-US" w:bidi="ar-SA"/>
      </w:rPr>
    </w:lvl>
    <w:lvl w:ilvl="8" w:tplc="F2ECCCFC">
      <w:numFmt w:val="bullet"/>
      <w:lvlText w:val="•"/>
      <w:lvlJc w:val="left"/>
      <w:pPr>
        <w:ind w:left="8812" w:hanging="361"/>
      </w:pPr>
      <w:rPr>
        <w:rFonts w:hint="default"/>
        <w:lang w:val="en-US" w:eastAsia="en-US" w:bidi="ar-SA"/>
      </w:rPr>
    </w:lvl>
  </w:abstractNum>
  <w:abstractNum w:abstractNumId="1">
    <w:nsid w:val="63870B4A"/>
    <w:multiLevelType w:val="hybridMultilevel"/>
    <w:tmpl w:val="8028DBAE"/>
    <w:lvl w:ilvl="0" w:tplc="28E8C770">
      <w:start w:val="100"/>
      <w:numFmt w:val="decimal"/>
      <w:lvlText w:val="%1."/>
      <w:lvlJc w:val="left"/>
      <w:pPr>
        <w:ind w:left="218" w:hanging="535"/>
        <w:jc w:val="left"/>
      </w:pPr>
      <w:rPr>
        <w:rFonts w:hint="default"/>
        <w:b/>
        <w:bCs/>
        <w:spacing w:val="-1"/>
        <w:w w:val="99"/>
        <w:lang w:val="en-US" w:eastAsia="en-US" w:bidi="ar-SA"/>
      </w:rPr>
    </w:lvl>
    <w:lvl w:ilvl="1" w:tplc="B86807C0">
      <w:numFmt w:val="bullet"/>
      <w:lvlText w:val="•"/>
      <w:lvlJc w:val="left"/>
      <w:pPr>
        <w:ind w:left="1294" w:hanging="535"/>
      </w:pPr>
      <w:rPr>
        <w:rFonts w:hint="default"/>
        <w:lang w:val="en-US" w:eastAsia="en-US" w:bidi="ar-SA"/>
      </w:rPr>
    </w:lvl>
    <w:lvl w:ilvl="2" w:tplc="C9DCB5FE">
      <w:numFmt w:val="bullet"/>
      <w:lvlText w:val="•"/>
      <w:lvlJc w:val="left"/>
      <w:pPr>
        <w:ind w:left="2368" w:hanging="535"/>
      </w:pPr>
      <w:rPr>
        <w:rFonts w:hint="default"/>
        <w:lang w:val="en-US" w:eastAsia="en-US" w:bidi="ar-SA"/>
      </w:rPr>
    </w:lvl>
    <w:lvl w:ilvl="3" w:tplc="750E34B0">
      <w:numFmt w:val="bullet"/>
      <w:lvlText w:val="•"/>
      <w:lvlJc w:val="left"/>
      <w:pPr>
        <w:ind w:left="3442" w:hanging="535"/>
      </w:pPr>
      <w:rPr>
        <w:rFonts w:hint="default"/>
        <w:lang w:val="en-US" w:eastAsia="en-US" w:bidi="ar-SA"/>
      </w:rPr>
    </w:lvl>
    <w:lvl w:ilvl="4" w:tplc="9EC44E60">
      <w:numFmt w:val="bullet"/>
      <w:lvlText w:val="•"/>
      <w:lvlJc w:val="left"/>
      <w:pPr>
        <w:ind w:left="4516" w:hanging="535"/>
      </w:pPr>
      <w:rPr>
        <w:rFonts w:hint="default"/>
        <w:lang w:val="en-US" w:eastAsia="en-US" w:bidi="ar-SA"/>
      </w:rPr>
    </w:lvl>
    <w:lvl w:ilvl="5" w:tplc="3904B96A">
      <w:numFmt w:val="bullet"/>
      <w:lvlText w:val="•"/>
      <w:lvlJc w:val="left"/>
      <w:pPr>
        <w:ind w:left="5590" w:hanging="535"/>
      </w:pPr>
      <w:rPr>
        <w:rFonts w:hint="default"/>
        <w:lang w:val="en-US" w:eastAsia="en-US" w:bidi="ar-SA"/>
      </w:rPr>
    </w:lvl>
    <w:lvl w:ilvl="6" w:tplc="9D7ABF90">
      <w:numFmt w:val="bullet"/>
      <w:lvlText w:val="•"/>
      <w:lvlJc w:val="left"/>
      <w:pPr>
        <w:ind w:left="6664" w:hanging="535"/>
      </w:pPr>
      <w:rPr>
        <w:rFonts w:hint="default"/>
        <w:lang w:val="en-US" w:eastAsia="en-US" w:bidi="ar-SA"/>
      </w:rPr>
    </w:lvl>
    <w:lvl w:ilvl="7" w:tplc="83B2E6A8">
      <w:numFmt w:val="bullet"/>
      <w:lvlText w:val="•"/>
      <w:lvlJc w:val="left"/>
      <w:pPr>
        <w:ind w:left="7738" w:hanging="535"/>
      </w:pPr>
      <w:rPr>
        <w:rFonts w:hint="default"/>
        <w:lang w:val="en-US" w:eastAsia="en-US" w:bidi="ar-SA"/>
      </w:rPr>
    </w:lvl>
    <w:lvl w:ilvl="8" w:tplc="6F6639B2">
      <w:numFmt w:val="bullet"/>
      <w:lvlText w:val="•"/>
      <w:lvlJc w:val="left"/>
      <w:pPr>
        <w:ind w:left="8812" w:hanging="535"/>
      </w:pPr>
      <w:rPr>
        <w:rFonts w:hint="default"/>
        <w:lang w:val="en-US" w:eastAsia="en-US" w:bidi="ar-SA"/>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useFELayout/>
  </w:compat>
  <w:rsids>
    <w:rsidRoot w:val="004B6B4B"/>
    <w:rsid w:val="0008388C"/>
    <w:rsid w:val="001059FC"/>
    <w:rsid w:val="00164B28"/>
    <w:rsid w:val="00327802"/>
    <w:rsid w:val="00354F90"/>
    <w:rsid w:val="004B6B4B"/>
    <w:rsid w:val="00660A07"/>
    <w:rsid w:val="006E2FD7"/>
    <w:rsid w:val="0089092E"/>
    <w:rsid w:val="009A31D1"/>
    <w:rsid w:val="00A12EB1"/>
    <w:rsid w:val="00C50B6A"/>
    <w:rsid w:val="00FF3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059FC"/>
    <w:pPr>
      <w:widowControl w:val="0"/>
      <w:autoSpaceDE w:val="0"/>
      <w:autoSpaceDN w:val="0"/>
      <w:spacing w:after="0" w:line="240" w:lineRule="auto"/>
      <w:ind w:left="350"/>
      <w:jc w:val="both"/>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3278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308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F30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38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308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9FC"/>
    <w:rPr>
      <w:rFonts w:ascii="Times New Roman" w:eastAsia="Times New Roman" w:hAnsi="Times New Roman" w:cs="Times New Roman"/>
      <w:b/>
      <w:bCs/>
    </w:rPr>
  </w:style>
  <w:style w:type="paragraph" w:styleId="BodyText">
    <w:name w:val="Body Text"/>
    <w:basedOn w:val="Normal"/>
    <w:link w:val="BodyTextChar"/>
    <w:uiPriority w:val="1"/>
    <w:qFormat/>
    <w:rsid w:val="001059F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59FC"/>
    <w:rPr>
      <w:rFonts w:ascii="Times New Roman" w:eastAsia="Times New Roman" w:hAnsi="Times New Roman" w:cs="Times New Roman"/>
    </w:rPr>
  </w:style>
  <w:style w:type="paragraph" w:styleId="ListParagraph">
    <w:name w:val="List Paragraph"/>
    <w:basedOn w:val="Normal"/>
    <w:uiPriority w:val="1"/>
    <w:qFormat/>
    <w:rsid w:val="001059FC"/>
    <w:pPr>
      <w:widowControl w:val="0"/>
      <w:autoSpaceDE w:val="0"/>
      <w:autoSpaceDN w:val="0"/>
      <w:spacing w:after="0" w:line="240" w:lineRule="auto"/>
      <w:ind w:left="350"/>
      <w:jc w:val="both"/>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F308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F308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F3089"/>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08388C"/>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32780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asiapacific@oecd.org" TargetMode="External"/><Relationship Id="rId1" Type="http://schemas.openxmlformats.org/officeDocument/2006/relationships/hyperlink" Target="http://www.oecd.org/corruption/asiapacific/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2020-12-04T07:34:00Z</dcterms:created>
  <dcterms:modified xsi:type="dcterms:W3CDTF">2020-12-04T07:34:00Z</dcterms:modified>
</cp:coreProperties>
</file>