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</w:rPr>
      </w:pPr>
      <w:r>
        <w:rPr>
          <w:rFonts w:ascii="Sabon-Roman" w:hAnsi="Sabon-Roman" w:cs="Sabon-Roman"/>
          <w:color w:val="231F20"/>
          <w:sz w:val="24"/>
          <w:szCs w:val="24"/>
        </w:rPr>
        <w:t>THE OFTEN CONFUSED ETIOLOGY OF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</w:rPr>
      </w:pPr>
      <w:r>
        <w:rPr>
          <w:rFonts w:ascii="Sabon-Roman" w:hAnsi="Sabon-Roman" w:cs="Sabon-Roman"/>
          <w:color w:val="231F20"/>
          <w:sz w:val="24"/>
          <w:szCs w:val="24"/>
        </w:rPr>
        <w:t>STRESS DISEASES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 xml:space="preserve">Diagnosis of an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abiotic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disease is often every bit as difficult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diagnosis of a biotic disease. When combinations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single or multiple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abiotic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and biotic diseases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occur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on the same plant or in an entire area, however,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diagnosis of the diseases and the determination of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relative importance of each become extremely difficult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often impossible.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When plants are adversely affected by an environmental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factor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such as low moisture, nutrient deficiency,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air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pollution, or freezing, they are generally and concurrently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weakened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predisposed to infection by one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more weakly parasitic pathogens. For example, all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conditions mentioned earlier predispose annual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plants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infection by the fungus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Alternaria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and many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perennial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plants to infection by canker-causing fungi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such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as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Leucostoma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(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Cytospora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) and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Botryosphaeria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. A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late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blossom frost is often followed by infection with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Botrytis</w:t>
      </w:r>
      <w:r>
        <w:rPr>
          <w:rFonts w:ascii="Sabon-Roman" w:hAnsi="Sabon-Roman" w:cs="Sabon-Roman"/>
          <w:color w:val="231F20"/>
          <w:sz w:val="20"/>
          <w:szCs w:val="20"/>
        </w:rPr>
        <w:t xml:space="preserve">,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Alternaria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, or </w:t>
      </w:r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Pseudomonas</w:t>
      </w:r>
      <w:r>
        <w:rPr>
          <w:rFonts w:ascii="Sabon-Roman" w:hAnsi="Sabon-Roman" w:cs="Sabon-Roman"/>
          <w:color w:val="231F20"/>
          <w:sz w:val="20"/>
          <w:szCs w:val="20"/>
        </w:rPr>
        <w:t>.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Herbicide injury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likely to be followed by root rots caused by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Fusarium</w:t>
      </w:r>
      <w:proofErr w:type="spellEnd"/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Rhizoctonia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. Flooding injury is often followed by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Pythium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root infections.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Obviously, many of the stresses discussed in this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chapter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are often complicated by biotic diseases that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follow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As a matter of fact, many epidemic disease problems,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such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as stalk rot of corn, tree declines, and stand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depletions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forage legumes, although thought of as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being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caused by one or more biotic agents, they are in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reality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set off by one or another of the environmental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factors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discussed in this chapter. Thus, stalk rot of corn,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although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caused by one of several common fungi (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Fusarium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Diplodia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,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Gibberella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), actually occurs or becomes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important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only under conditions of low potassium and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low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moisture stress in early season. Similarly, the additional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stress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caused by some herbicides on soybean,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sugar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beet, and cotton seedlings increases the susceptibility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these crops to the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Thielaviopsis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basicola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and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Rhizoctonia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root rots and damping off.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A striking example of the often confused etiology of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stress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diseases was developed in the last 30 years in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Europe, where many different forest tree species, shrubs,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herbs have been exhibiting various degrees of yellowing,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reduced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growth, defoliation, abnormal growth,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decline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and eventually death. This widespread general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decline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forests (called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waldsterben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) occurred and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spread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over large areas of central Europe after about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1980. Such declines seem to be triggered by the stress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caused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by atmospheric depositions of toxic or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growthaltering</w:t>
      </w:r>
      <w:proofErr w:type="spellEnd"/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air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pollutants that are subsequently aggravated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additional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abiotic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and biotic predisposing or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stressinducing</w:t>
      </w:r>
      <w:proofErr w:type="spellEnd"/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factors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The air pollutants themselves, such as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ozone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cause some direct injury and reduction in photosynthesis,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but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mixture of deposited acidic pollutants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may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also cause the acidification of soils. This may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lastRenderedPageBreak/>
        <w:t>result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leaching out and therefore deficiency in certain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elements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such as magnesium, or in increases in the solubility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certain toxic elements, such as aluminum,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thereby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causing aluminum toxicity in plants. The latter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causes necrosis of fine roots, which leads to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increased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moisture or nutrient stress and eventual drying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out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death of trees, particularly during dry periods.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 xml:space="preserve">In addition to the effects caused by these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abiotic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factors,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affected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trees show increased susceptibility to insects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foliage and root pathogens such as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Lophodermium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,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Phytophthora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, and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Armillaria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>, which further</w:t>
      </w:r>
    </w:p>
    <w:p w:rsidR="006C5786" w:rsidRDefault="006C5786" w:rsidP="006C578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increase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moisture and water stress and reduce photosynthesis</w:t>
      </w:r>
    </w:p>
    <w:p w:rsidR="004E3118" w:rsidRDefault="006C5786" w:rsidP="006C5786"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plant.</w:t>
      </w:r>
    </w:p>
    <w:sectPr w:rsidR="004E3118" w:rsidSect="004E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786"/>
    <w:rsid w:val="004E3118"/>
    <w:rsid w:val="006C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1</cp:revision>
  <dcterms:created xsi:type="dcterms:W3CDTF">2020-12-02T07:00:00Z</dcterms:created>
  <dcterms:modified xsi:type="dcterms:W3CDTF">2020-12-02T07:01:00Z</dcterms:modified>
</cp:coreProperties>
</file>