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D8" w:rsidRPr="0030412B" w:rsidRDefault="0030412B" w:rsidP="003041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field of </w:t>
      </w:r>
      <w:r w:rsidRPr="00304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statistics</w:t>
      </w:r>
      <w:r w:rsidRPr="00304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is the science of learning from data. Statistical knowledge helps you use the proper methods to collect the data, employ the correct analyses, and effectively present the results. </w:t>
      </w:r>
    </w:p>
    <w:p w:rsidR="00A85748" w:rsidRDefault="00F00421" w:rsidP="00F0042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00421">
        <w:rPr>
          <w:rFonts w:ascii="Times New Roman" w:hAnsi="Times New Roman" w:cs="Times New Roman"/>
          <w:b/>
          <w:sz w:val="32"/>
          <w:szCs w:val="32"/>
          <w:lang w:val="en-US"/>
        </w:rPr>
        <w:t>Presentation of Data</w:t>
      </w:r>
    </w:p>
    <w:p w:rsidR="008244CA" w:rsidRPr="008244CA" w:rsidRDefault="00F00421" w:rsidP="00F004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Classification:</w:t>
      </w:r>
      <w:r w:rsidR="008244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44CA" w:rsidRPr="008244CA">
        <w:rPr>
          <w:rFonts w:ascii="Times New Roman" w:hAnsi="Times New Roman" w:cs="Times New Roman"/>
          <w:sz w:val="24"/>
          <w:szCs w:val="24"/>
          <w:lang w:val="en-US"/>
        </w:rPr>
        <w:t>Division of data into groups and classes is called classification. Two types of classification are</w:t>
      </w:r>
    </w:p>
    <w:p w:rsidR="008244CA" w:rsidRPr="008244CA" w:rsidRDefault="008244CA" w:rsidP="00824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44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44CA">
        <w:rPr>
          <w:rFonts w:ascii="Times New Roman" w:hAnsi="Times New Roman" w:cs="Times New Roman"/>
          <w:sz w:val="24"/>
          <w:szCs w:val="24"/>
          <w:lang w:val="en-US"/>
        </w:rPr>
        <w:t>One way classification: (Present one criteria)</w:t>
      </w:r>
    </w:p>
    <w:p w:rsidR="008244CA" w:rsidRPr="008244CA" w:rsidRDefault="008244CA" w:rsidP="00824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44CA">
        <w:rPr>
          <w:rFonts w:ascii="Times New Roman" w:hAnsi="Times New Roman" w:cs="Times New Roman"/>
          <w:sz w:val="24"/>
          <w:szCs w:val="24"/>
          <w:lang w:val="en-US"/>
        </w:rPr>
        <w:t xml:space="preserve">Two way classification: (Represent two criteria like age and weight) </w:t>
      </w:r>
    </w:p>
    <w:p w:rsidR="008244CA" w:rsidRPr="008244CA" w:rsidRDefault="008244CA" w:rsidP="008244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0421">
        <w:rPr>
          <w:rFonts w:ascii="Times New Roman" w:hAnsi="Times New Roman" w:cs="Times New Roman"/>
          <w:b/>
          <w:sz w:val="28"/>
          <w:szCs w:val="28"/>
          <w:lang w:val="en-US"/>
        </w:rPr>
        <w:t>Tabulation: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44CA">
        <w:rPr>
          <w:rFonts w:ascii="Times New Roman" w:hAnsi="Times New Roman" w:cs="Times New Roman"/>
          <w:sz w:val="24"/>
          <w:szCs w:val="24"/>
          <w:lang w:val="en-US"/>
        </w:rPr>
        <w:t xml:space="preserve">Division of data into rows and columns is called tabulation. </w:t>
      </w:r>
    </w:p>
    <w:p w:rsidR="00F00421" w:rsidRDefault="00F00421" w:rsidP="00F004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8244CA">
        <w:rPr>
          <w:rFonts w:ascii="Times New Roman" w:hAnsi="Times New Roman" w:cs="Times New Roman"/>
          <w:b/>
          <w:sz w:val="28"/>
          <w:szCs w:val="28"/>
          <w:lang w:val="en-US"/>
        </w:rPr>
        <w:t>arts of Table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A47D8" w:rsidRDefault="00F00421" w:rsidP="00F004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47D8">
        <w:rPr>
          <w:rFonts w:ascii="Times New Roman" w:hAnsi="Times New Roman" w:cs="Times New Roman"/>
          <w:sz w:val="24"/>
          <w:szCs w:val="24"/>
          <w:lang w:val="en-US"/>
        </w:rPr>
        <w:t>1. Title</w:t>
      </w:r>
      <w:r w:rsidRPr="00DA47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47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47D8">
        <w:rPr>
          <w:rFonts w:ascii="Times New Roman" w:hAnsi="Times New Roman" w:cs="Times New Roman"/>
          <w:sz w:val="24"/>
          <w:szCs w:val="24"/>
          <w:lang w:val="en-US"/>
        </w:rPr>
        <w:t xml:space="preserve"> 2. Prefatory notes </w:t>
      </w:r>
      <w:r w:rsidR="004C0BD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C0BD9">
        <w:rPr>
          <w:rFonts w:ascii="Open Sans" w:hAnsi="Open Sans"/>
          <w:color w:val="000000"/>
          <w:shd w:val="clear" w:color="auto" w:fill="FFFFFF"/>
        </w:rPr>
        <w:t>A statement given below the title and enclosed in brackets usually describes the units of measurement and is called the prefatory notes</w:t>
      </w:r>
      <w:r w:rsidR="004C0BD9">
        <w:rPr>
          <w:rFonts w:ascii="Open Sans" w:hAnsi="Open Sans"/>
          <w:color w:val="000000"/>
          <w:shd w:val="clear" w:color="auto" w:fill="FFFFFF"/>
        </w:rPr>
        <w:t>)</w:t>
      </w:r>
      <w:r w:rsidR="004C0BD9">
        <w:rPr>
          <w:rFonts w:ascii="Open Sans" w:hAnsi="Open Sans"/>
          <w:color w:val="000000"/>
          <w:shd w:val="clear" w:color="auto" w:fill="FFFFFF"/>
        </w:rPr>
        <w:t>.</w:t>
      </w:r>
    </w:p>
    <w:p w:rsidR="00DA47D8" w:rsidRDefault="00F00421" w:rsidP="00F004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47D8">
        <w:rPr>
          <w:rFonts w:ascii="Times New Roman" w:hAnsi="Times New Roman" w:cs="Times New Roman"/>
          <w:sz w:val="24"/>
          <w:szCs w:val="24"/>
          <w:lang w:val="en-US"/>
        </w:rPr>
        <w:t>3. Stub</w:t>
      </w:r>
      <w:r w:rsidRPr="00DA47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47D8">
        <w:rPr>
          <w:rFonts w:ascii="Times New Roman" w:hAnsi="Times New Roman" w:cs="Times New Roman"/>
          <w:sz w:val="24"/>
          <w:szCs w:val="24"/>
          <w:lang w:val="en-US"/>
        </w:rPr>
        <w:t>(Section containing row caption)</w:t>
      </w:r>
      <w:r w:rsidR="00DA47D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0421" w:rsidRPr="00DA47D8" w:rsidRDefault="00F00421" w:rsidP="00F004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47D8">
        <w:rPr>
          <w:rFonts w:ascii="Times New Roman" w:hAnsi="Times New Roman" w:cs="Times New Roman"/>
          <w:sz w:val="24"/>
          <w:szCs w:val="24"/>
          <w:lang w:val="en-US"/>
        </w:rPr>
        <w:t>4. Box Head</w:t>
      </w:r>
      <w:r w:rsidR="00DA47D8">
        <w:rPr>
          <w:rFonts w:ascii="Times New Roman" w:hAnsi="Times New Roman" w:cs="Times New Roman"/>
          <w:sz w:val="24"/>
          <w:szCs w:val="24"/>
          <w:lang w:val="en-US"/>
        </w:rPr>
        <w:t xml:space="preserve"> (Section containing column caption)</w:t>
      </w:r>
    </w:p>
    <w:p w:rsidR="00DA47D8" w:rsidRDefault="00F00421" w:rsidP="00F004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47D8">
        <w:rPr>
          <w:rFonts w:ascii="Times New Roman" w:hAnsi="Times New Roman" w:cs="Times New Roman"/>
          <w:sz w:val="24"/>
          <w:szCs w:val="24"/>
          <w:lang w:val="en-US"/>
        </w:rPr>
        <w:t>5. Body</w:t>
      </w:r>
      <w:r w:rsidR="00DA47D8">
        <w:rPr>
          <w:rFonts w:ascii="Times New Roman" w:hAnsi="Times New Roman" w:cs="Times New Roman"/>
          <w:sz w:val="24"/>
          <w:szCs w:val="24"/>
          <w:lang w:val="en-US"/>
        </w:rPr>
        <w:t xml:space="preserve"> (Contains the entire data arranged in rows and columns)</w:t>
      </w:r>
    </w:p>
    <w:p w:rsidR="00DA47D8" w:rsidRDefault="00F00421" w:rsidP="00F004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47D8">
        <w:rPr>
          <w:rFonts w:ascii="Times New Roman" w:hAnsi="Times New Roman" w:cs="Times New Roman"/>
          <w:sz w:val="24"/>
          <w:szCs w:val="24"/>
          <w:lang w:val="en-US"/>
        </w:rPr>
        <w:t>6. Foot notes</w:t>
      </w:r>
      <w:r w:rsidR="00DA47D8">
        <w:rPr>
          <w:rFonts w:ascii="Times New Roman" w:hAnsi="Times New Roman" w:cs="Times New Roman"/>
          <w:sz w:val="24"/>
          <w:szCs w:val="24"/>
          <w:lang w:val="en-US"/>
        </w:rPr>
        <w:t xml:space="preserve"> (below the body</w:t>
      </w:r>
      <w:r w:rsidR="004C0BD9">
        <w:rPr>
          <w:rFonts w:ascii="Times New Roman" w:hAnsi="Times New Roman" w:cs="Times New Roman"/>
          <w:sz w:val="24"/>
          <w:szCs w:val="24"/>
          <w:lang w:val="en-US"/>
        </w:rPr>
        <w:t xml:space="preserve"> providing additional explanation</w:t>
      </w:r>
      <w:r w:rsidR="00DA47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A47D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47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A47D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0421" w:rsidRDefault="00F00421" w:rsidP="00F004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47D8">
        <w:rPr>
          <w:rFonts w:ascii="Times New Roman" w:hAnsi="Times New Roman" w:cs="Times New Roman"/>
          <w:sz w:val="24"/>
          <w:szCs w:val="24"/>
          <w:lang w:val="en-US"/>
        </w:rPr>
        <w:t>7. Source notes</w:t>
      </w:r>
      <w:r w:rsidR="00DA47D8">
        <w:rPr>
          <w:rFonts w:ascii="Times New Roman" w:hAnsi="Times New Roman" w:cs="Times New Roman"/>
          <w:sz w:val="24"/>
          <w:szCs w:val="24"/>
          <w:lang w:val="en-US"/>
        </w:rPr>
        <w:t xml:space="preserve"> (Source from where we collect data)</w:t>
      </w:r>
    </w:p>
    <w:p w:rsidR="00B2701A" w:rsidRPr="001F5DAA" w:rsidRDefault="001F5DAA" w:rsidP="00B270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F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General Sketch of a table</w:t>
      </w:r>
    </w:p>
    <w:p w:rsidR="001F5DAA" w:rsidRDefault="001F5DAA" w:rsidP="00B2701A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</w:pPr>
    </w:p>
    <w:p w:rsidR="00B2701A" w:rsidRPr="00B2701A" w:rsidRDefault="00B2701A" w:rsidP="00B27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5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—–THE TITLE—-</w:t>
      </w:r>
      <w:r w:rsidRPr="00B270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1F5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—-Prefatory Notes—-</w:t>
      </w:r>
    </w:p>
    <w:tbl>
      <w:tblPr>
        <w:tblW w:w="8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808"/>
        <w:gridCol w:w="2293"/>
        <w:gridCol w:w="1981"/>
      </w:tblGrid>
      <w:tr w:rsidR="00B2701A" w:rsidRPr="00B2701A" w:rsidTr="00B2701A">
        <w:trPr>
          <w:trHeight w:val="556"/>
        </w:trPr>
        <w:tc>
          <w:tcPr>
            <w:tcW w:w="23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82" w:type="dxa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—-Box Head—-</w:t>
            </w:r>
          </w:p>
        </w:tc>
      </w:tr>
      <w:tr w:rsidR="00B2701A" w:rsidRPr="00B2701A" w:rsidTr="00B2701A">
        <w:trPr>
          <w:trHeight w:val="463"/>
        </w:trPr>
        <w:tc>
          <w:tcPr>
            <w:tcW w:w="23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—-Row Captions—-</w:t>
            </w:r>
          </w:p>
        </w:tc>
        <w:tc>
          <w:tcPr>
            <w:tcW w:w="6082" w:type="dxa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——Column Captions—–</w:t>
            </w:r>
          </w:p>
        </w:tc>
      </w:tr>
      <w:tr w:rsidR="00B2701A" w:rsidRPr="00B2701A" w:rsidTr="00B2701A">
        <w:trPr>
          <w:trHeight w:val="344"/>
        </w:trPr>
        <w:tc>
          <w:tcPr>
            <w:tcW w:w="23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01A" w:rsidRPr="00B2701A" w:rsidTr="00B2701A">
        <w:trPr>
          <w:trHeight w:val="1760"/>
        </w:trPr>
        <w:tc>
          <w:tcPr>
            <w:tcW w:w="2392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—Stub Entries—</w:t>
            </w:r>
          </w:p>
        </w:tc>
        <w:tc>
          <w:tcPr>
            <w:tcW w:w="6082" w:type="dxa"/>
            <w:gridSpan w:val="3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01A" w:rsidRPr="00B2701A" w:rsidRDefault="00B2701A" w:rsidP="00B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—–The Body—–</w:t>
            </w:r>
          </w:p>
        </w:tc>
      </w:tr>
    </w:tbl>
    <w:p w:rsidR="00B2701A" w:rsidRPr="00B2701A" w:rsidRDefault="00B2701A" w:rsidP="00B27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F5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Foot Notes…</w:t>
      </w:r>
      <w:r w:rsidRPr="00B270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1F5D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Source Notes…</w:t>
      </w:r>
    </w:p>
    <w:p w:rsidR="00B2701A" w:rsidRDefault="00B2701A" w:rsidP="00B270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701A">
        <w:rPr>
          <w:rFonts w:ascii="Open Sans" w:eastAsia="Times New Roman" w:hAnsi="Open Sans" w:cs="Times New Roman"/>
          <w:color w:val="000000"/>
          <w:sz w:val="24"/>
          <w:szCs w:val="24"/>
          <w:lang w:eastAsia="en-GB"/>
        </w:rPr>
        <w:br/>
      </w:r>
      <w:r w:rsidRPr="00B2701A">
        <w:rPr>
          <w:rFonts w:ascii="Open Sans" w:eastAsia="Times New Roman" w:hAnsi="Open Sans" w:cs="Times New Roman"/>
          <w:color w:val="000000"/>
          <w:sz w:val="24"/>
          <w:szCs w:val="24"/>
          <w:lang w:eastAsia="en-GB"/>
        </w:rPr>
        <w:br/>
      </w:r>
    </w:p>
    <w:p w:rsidR="00B2701A" w:rsidRDefault="00B2701A" w:rsidP="00B2701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01A" w:rsidRDefault="00B2701A" w:rsidP="00B270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53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Difference between classification and tabulation</w:t>
      </w:r>
    </w:p>
    <w:p w:rsidR="00B2701A" w:rsidRDefault="00B2701A" w:rsidP="00B270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0BD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 xml:space="preserve"> (1)</w:t>
      </w:r>
      <w:r w:rsidRPr="004C0BD9">
        <w:rPr>
          <w:rFonts w:ascii="Open Sans" w:eastAsia="Times New Roman" w:hAnsi="Open Sans" w:cs="Times New Roman"/>
          <w:color w:val="000000"/>
          <w:sz w:val="24"/>
          <w:szCs w:val="24"/>
          <w:lang w:eastAsia="en-GB"/>
        </w:rPr>
        <w:t> First the data are classified and then they are presented in tables, and classification and tabulation in fact go together. So classification is the basis for tabulation.</w:t>
      </w:r>
    </w:p>
    <w:p w:rsidR="00B2701A" w:rsidRPr="00F153B9" w:rsidRDefault="00B2701A" w:rsidP="00B270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0BD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en-GB"/>
        </w:rPr>
        <w:t>(2)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en-GB"/>
        </w:rPr>
        <w:t xml:space="preserve"> I</w:t>
      </w:r>
      <w:r w:rsidRPr="004C0BD9">
        <w:rPr>
          <w:rFonts w:ascii="Open Sans" w:eastAsia="Times New Roman" w:hAnsi="Open Sans" w:cs="Times New Roman"/>
          <w:color w:val="000000"/>
          <w:sz w:val="24"/>
          <w:szCs w:val="24"/>
          <w:lang w:eastAsia="en-GB"/>
        </w:rPr>
        <w:t>n tabulation classified data are placed in rows and columns.</w:t>
      </w:r>
    </w:p>
    <w:p w:rsidR="00F00421" w:rsidRPr="00F00421" w:rsidRDefault="00B2701A" w:rsidP="00B270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Strong"/>
          <w:rFonts w:ascii="Open Sans" w:hAnsi="Open Sans"/>
          <w:color w:val="000000"/>
        </w:rPr>
        <w:t>(3)</w:t>
      </w:r>
      <w:r>
        <w:rPr>
          <w:rFonts w:ascii="Open Sans" w:hAnsi="Open Sans"/>
          <w:color w:val="000000"/>
          <w:shd w:val="clear" w:color="auto" w:fill="FFFFFF"/>
        </w:rPr>
        <w:t> Classification is a process of statistical analysis whereas tabulation is a process of presenting the data in suitable forms.</w:t>
      </w:r>
      <w:r>
        <w:rPr>
          <w:rFonts w:ascii="Open Sans" w:hAnsi="Open Sans"/>
          <w:color w:val="000000"/>
        </w:rPr>
        <w:br/>
      </w:r>
      <w:r w:rsidR="004C0BD9" w:rsidRPr="004C0BD9">
        <w:rPr>
          <w:rFonts w:ascii="Open Sans" w:eastAsia="Times New Roman" w:hAnsi="Open Sans" w:cs="Times New Roman"/>
          <w:color w:val="000000"/>
          <w:sz w:val="24"/>
          <w:szCs w:val="24"/>
          <w:lang w:eastAsia="en-GB"/>
        </w:rPr>
        <w:br/>
      </w:r>
      <w:bookmarkStart w:id="0" w:name="_GoBack"/>
      <w:bookmarkEnd w:id="0"/>
      <w:r w:rsidR="004C0BD9" w:rsidRPr="004C0BD9">
        <w:rPr>
          <w:rFonts w:ascii="Open Sans" w:eastAsia="Times New Roman" w:hAnsi="Open Sans" w:cs="Times New Roman"/>
          <w:color w:val="000000"/>
          <w:sz w:val="24"/>
          <w:szCs w:val="24"/>
          <w:lang w:eastAsia="en-GB"/>
        </w:rPr>
        <w:br/>
      </w:r>
    </w:p>
    <w:sectPr w:rsidR="00F00421" w:rsidRPr="00F00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D4B"/>
    <w:multiLevelType w:val="hybridMultilevel"/>
    <w:tmpl w:val="79425BEA"/>
    <w:lvl w:ilvl="0" w:tplc="A614BED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25C2"/>
    <w:multiLevelType w:val="hybridMultilevel"/>
    <w:tmpl w:val="EC041724"/>
    <w:lvl w:ilvl="0" w:tplc="297AA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21"/>
    <w:rsid w:val="001F5DAA"/>
    <w:rsid w:val="00223408"/>
    <w:rsid w:val="0030412B"/>
    <w:rsid w:val="004C0BD9"/>
    <w:rsid w:val="005C747E"/>
    <w:rsid w:val="008244CA"/>
    <w:rsid w:val="00A85748"/>
    <w:rsid w:val="00B2701A"/>
    <w:rsid w:val="00DA47D8"/>
    <w:rsid w:val="00F00421"/>
    <w:rsid w:val="00F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8660B-07A5-40F4-927A-9FCC95B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41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B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0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8</cp:revision>
  <dcterms:created xsi:type="dcterms:W3CDTF">2020-03-24T13:06:00Z</dcterms:created>
  <dcterms:modified xsi:type="dcterms:W3CDTF">2020-03-25T03:43:00Z</dcterms:modified>
</cp:coreProperties>
</file>