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88" w:rsidRPr="00A111AD" w:rsidRDefault="007A5F88" w:rsidP="007A5F88">
      <w:pPr>
        <w:spacing w:after="200" w:line="276" w:lineRule="auto"/>
        <w:ind w:left="2160" w:firstLine="720"/>
        <w:rPr>
          <w:b/>
          <w:color w:val="000000"/>
          <w:sz w:val="28"/>
          <w:szCs w:val="28"/>
        </w:rPr>
      </w:pPr>
      <w:bookmarkStart w:id="0" w:name="_GoBack"/>
      <w:bookmarkEnd w:id="0"/>
      <w:r w:rsidRPr="00A111AD">
        <w:rPr>
          <w:b/>
          <w:color w:val="000000"/>
          <w:sz w:val="28"/>
          <w:szCs w:val="28"/>
        </w:rPr>
        <w:t>UNIVERSITY OF SARGODHA</w:t>
      </w:r>
    </w:p>
    <w:p w:rsidR="007A5F88" w:rsidRPr="00A111AD" w:rsidRDefault="00785E79" w:rsidP="007A5F88">
      <w:pPr>
        <w:pBdr>
          <w:bottom w:val="single" w:sz="6" w:space="1" w:color="auto"/>
        </w:pBdr>
        <w:autoSpaceDE w:val="0"/>
        <w:autoSpaceDN w:val="0"/>
        <w:adjustRightInd w:val="0"/>
        <w:jc w:val="center"/>
        <w:rPr>
          <w:b/>
          <w:sz w:val="28"/>
          <w:szCs w:val="28"/>
        </w:rPr>
      </w:pPr>
      <w:r>
        <w:rPr>
          <w:b/>
          <w:color w:val="000000"/>
          <w:sz w:val="28"/>
          <w:szCs w:val="28"/>
        </w:rPr>
        <w:t>Noon Business School</w:t>
      </w:r>
    </w:p>
    <w:p w:rsidR="007A5F88" w:rsidRPr="001F0F0D" w:rsidRDefault="007A5F88" w:rsidP="007A5F88">
      <w:pPr>
        <w:pBdr>
          <w:bottom w:val="single" w:sz="6" w:space="1" w:color="auto"/>
        </w:pBdr>
        <w:autoSpaceDE w:val="0"/>
        <w:autoSpaceDN w:val="0"/>
        <w:adjustRightInd w:val="0"/>
        <w:jc w:val="center"/>
        <w:rPr>
          <w:color w:val="000000"/>
          <w:sz w:val="22"/>
          <w:szCs w:val="22"/>
        </w:rPr>
      </w:pPr>
    </w:p>
    <w:p w:rsidR="007A5F88" w:rsidRPr="001F0F0D" w:rsidRDefault="007A5F88" w:rsidP="007A5F88">
      <w:pPr>
        <w:autoSpaceDE w:val="0"/>
        <w:autoSpaceDN w:val="0"/>
        <w:adjustRightInd w:val="0"/>
        <w:jc w:val="center"/>
        <w:rPr>
          <w:b/>
          <w:color w:val="000000"/>
          <w:sz w:val="22"/>
          <w:szCs w:val="22"/>
        </w:rPr>
      </w:pPr>
    </w:p>
    <w:p w:rsidR="007A5F88" w:rsidRPr="001F0F0D" w:rsidRDefault="00460483" w:rsidP="007A5F88">
      <w:pPr>
        <w:tabs>
          <w:tab w:val="left" w:pos="3600"/>
        </w:tabs>
        <w:autoSpaceDE w:val="0"/>
        <w:autoSpaceDN w:val="0"/>
        <w:adjustRightInd w:val="0"/>
        <w:rPr>
          <w:color w:val="000000"/>
          <w:sz w:val="22"/>
          <w:szCs w:val="22"/>
        </w:rPr>
      </w:pPr>
      <w:r>
        <w:rPr>
          <w:color w:val="000000"/>
          <w:sz w:val="22"/>
          <w:szCs w:val="22"/>
        </w:rPr>
        <w:t>COURSE OUTLINE: BBA (after 14 years)</w:t>
      </w:r>
      <w:r w:rsidR="00087F78">
        <w:rPr>
          <w:color w:val="000000"/>
          <w:sz w:val="22"/>
          <w:szCs w:val="22"/>
        </w:rPr>
        <w:t xml:space="preserve"> 3</w:t>
      </w:r>
      <w:r w:rsidR="00087F78" w:rsidRPr="00087F78">
        <w:rPr>
          <w:color w:val="000000"/>
          <w:sz w:val="22"/>
          <w:szCs w:val="22"/>
          <w:vertAlign w:val="superscript"/>
        </w:rPr>
        <w:t>rd</w:t>
      </w:r>
      <w:r>
        <w:rPr>
          <w:color w:val="000000"/>
          <w:sz w:val="22"/>
          <w:szCs w:val="22"/>
        </w:rPr>
        <w:t xml:space="preserve"> Intermediate</w:t>
      </w:r>
      <w:r w:rsidR="00087F78">
        <w:rPr>
          <w:color w:val="000000"/>
          <w:sz w:val="22"/>
          <w:szCs w:val="22"/>
        </w:rPr>
        <w:t xml:space="preserve"> Finance</w:t>
      </w:r>
      <w:r w:rsidR="00922112">
        <w:rPr>
          <w:color w:val="000000"/>
          <w:sz w:val="22"/>
          <w:szCs w:val="22"/>
        </w:rPr>
        <w:tab/>
      </w:r>
      <w:r>
        <w:rPr>
          <w:color w:val="000000"/>
          <w:sz w:val="22"/>
          <w:szCs w:val="22"/>
        </w:rPr>
        <w:t xml:space="preserve">               </w:t>
      </w:r>
      <w:r w:rsidR="00C97AB8">
        <w:rPr>
          <w:color w:val="000000"/>
          <w:sz w:val="22"/>
          <w:szCs w:val="22"/>
        </w:rPr>
        <w:t>Fall 2020-2021</w:t>
      </w:r>
    </w:p>
    <w:p w:rsidR="007A5F88" w:rsidRPr="001F0F0D" w:rsidRDefault="007A5F88" w:rsidP="007A5F88">
      <w:pPr>
        <w:autoSpaceDE w:val="0"/>
        <w:autoSpaceDN w:val="0"/>
        <w:adjustRightInd w:val="0"/>
        <w:rPr>
          <w:color w:val="000000"/>
          <w:sz w:val="22"/>
          <w:szCs w:val="22"/>
        </w:rPr>
      </w:pPr>
    </w:p>
    <w:p w:rsidR="007A5F88" w:rsidRPr="00880F57" w:rsidRDefault="007A5F88" w:rsidP="007A5F88">
      <w:pPr>
        <w:autoSpaceDE w:val="0"/>
        <w:autoSpaceDN w:val="0"/>
        <w:adjustRightInd w:val="0"/>
        <w:rPr>
          <w:b/>
          <w:color w:val="000000" w:themeColor="text1"/>
          <w:sz w:val="22"/>
          <w:szCs w:val="22"/>
          <w:u w:val="single"/>
        </w:rPr>
      </w:pPr>
      <w:r w:rsidRPr="001F0F0D">
        <w:rPr>
          <w:color w:val="000000" w:themeColor="text1"/>
          <w:sz w:val="22"/>
          <w:szCs w:val="22"/>
        </w:rPr>
        <w:t xml:space="preserve">Course Title: </w:t>
      </w:r>
      <w:r w:rsidR="00460483">
        <w:rPr>
          <w:b/>
          <w:color w:val="000000" w:themeColor="text1"/>
          <w:sz w:val="22"/>
          <w:szCs w:val="22"/>
          <w:u w:val="single"/>
        </w:rPr>
        <w:t>Intermediate Finance</w:t>
      </w:r>
    </w:p>
    <w:p w:rsidR="007A5F88" w:rsidRPr="001F0F0D" w:rsidRDefault="007A5F88" w:rsidP="007A5F88">
      <w:pPr>
        <w:autoSpaceDE w:val="0"/>
        <w:autoSpaceDN w:val="0"/>
        <w:adjustRightInd w:val="0"/>
        <w:rPr>
          <w:color w:val="000000" w:themeColor="text1"/>
          <w:sz w:val="22"/>
          <w:szCs w:val="22"/>
        </w:rPr>
      </w:pPr>
    </w:p>
    <w:p w:rsidR="007A5F88" w:rsidRPr="008C0322" w:rsidRDefault="007A5F88" w:rsidP="007A5F88">
      <w:pPr>
        <w:autoSpaceDE w:val="0"/>
        <w:autoSpaceDN w:val="0"/>
        <w:adjustRightInd w:val="0"/>
        <w:rPr>
          <w:color w:val="000000" w:themeColor="text1"/>
          <w:sz w:val="22"/>
          <w:szCs w:val="22"/>
          <w:lang w:val="en-MY"/>
        </w:rPr>
      </w:pPr>
      <w:r w:rsidRPr="001F0F0D">
        <w:rPr>
          <w:color w:val="000000" w:themeColor="text1"/>
          <w:sz w:val="22"/>
          <w:szCs w:val="22"/>
        </w:rPr>
        <w:t>Course Code:</w:t>
      </w:r>
      <w:r w:rsidR="008C0322">
        <w:rPr>
          <w:color w:val="000000" w:themeColor="text1"/>
          <w:sz w:val="22"/>
          <w:szCs w:val="22"/>
        </w:rPr>
        <w:t xml:space="preserve"> </w:t>
      </w:r>
      <w:r w:rsidR="008C0322" w:rsidRPr="008C0322">
        <w:rPr>
          <w:color w:val="000000" w:themeColor="text1"/>
          <w:sz w:val="22"/>
          <w:szCs w:val="22"/>
          <w:lang w:val="en-MY"/>
        </w:rPr>
        <w:t>BUSB-6123</w:t>
      </w:r>
    </w:p>
    <w:p w:rsidR="007A5F88" w:rsidRPr="001F0F0D" w:rsidRDefault="007A5F88" w:rsidP="007A5F88">
      <w:pPr>
        <w:autoSpaceDE w:val="0"/>
        <w:autoSpaceDN w:val="0"/>
        <w:adjustRightInd w:val="0"/>
        <w:spacing w:line="360" w:lineRule="auto"/>
        <w:rPr>
          <w:color w:val="000000" w:themeColor="text1"/>
          <w:sz w:val="22"/>
          <w:szCs w:val="22"/>
        </w:rPr>
      </w:pPr>
      <w:r w:rsidRPr="001F0F0D">
        <w:rPr>
          <w:color w:val="000000" w:themeColor="text1"/>
          <w:sz w:val="22"/>
          <w:szCs w:val="22"/>
        </w:rPr>
        <w:t>Credit Hours</w:t>
      </w:r>
      <w:proofErr w:type="gramStart"/>
      <w:r w:rsidRPr="001F0F0D">
        <w:rPr>
          <w:color w:val="000000" w:themeColor="text1"/>
          <w:sz w:val="22"/>
          <w:szCs w:val="22"/>
        </w:rPr>
        <w:t>:</w:t>
      </w:r>
      <w:r>
        <w:rPr>
          <w:color w:val="000000" w:themeColor="text1"/>
          <w:sz w:val="22"/>
          <w:szCs w:val="22"/>
        </w:rPr>
        <w:t>03</w:t>
      </w:r>
      <w:proofErr w:type="gramEnd"/>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Instructor: </w:t>
      </w:r>
      <w:r w:rsidR="00AD7F45">
        <w:rPr>
          <w:color w:val="000000" w:themeColor="text1"/>
          <w:sz w:val="22"/>
          <w:szCs w:val="22"/>
        </w:rPr>
        <w:t>Haroon Hussain</w:t>
      </w:r>
    </w:p>
    <w:p w:rsidR="007A5F88" w:rsidRPr="001F0F0D" w:rsidRDefault="007A5F88" w:rsidP="007A5F88">
      <w:pPr>
        <w:autoSpaceDE w:val="0"/>
        <w:autoSpaceDN w:val="0"/>
        <w:adjustRightInd w:val="0"/>
        <w:rPr>
          <w:color w:val="000000" w:themeColor="text1"/>
          <w:sz w:val="22"/>
          <w:szCs w:val="22"/>
        </w:rPr>
      </w:pPr>
      <w:r w:rsidRPr="001F0F0D">
        <w:rPr>
          <w:color w:val="000000" w:themeColor="text1"/>
          <w:sz w:val="22"/>
          <w:szCs w:val="22"/>
        </w:rPr>
        <w:t xml:space="preserve">Email: </w:t>
      </w:r>
      <w:r w:rsidR="00F41242">
        <w:rPr>
          <w:color w:val="000000" w:themeColor="text1"/>
          <w:sz w:val="22"/>
          <w:szCs w:val="22"/>
        </w:rPr>
        <w:t>haroon.hussain@uos.edu.pk</w:t>
      </w:r>
    </w:p>
    <w:p w:rsidR="007A5F88" w:rsidRPr="001F0F0D" w:rsidRDefault="007A5F88" w:rsidP="007A5F88">
      <w:pPr>
        <w:tabs>
          <w:tab w:val="left" w:pos="3600"/>
          <w:tab w:val="left" w:pos="3690"/>
          <w:tab w:val="left" w:pos="3780"/>
        </w:tabs>
        <w:autoSpaceDE w:val="0"/>
        <w:autoSpaceDN w:val="0"/>
        <w:adjustRightInd w:val="0"/>
        <w:rPr>
          <w:color w:val="000000" w:themeColor="text1"/>
          <w:sz w:val="22"/>
          <w:szCs w:val="22"/>
        </w:rPr>
      </w:pPr>
    </w:p>
    <w:p w:rsidR="007A5F88" w:rsidRPr="001F0F0D" w:rsidRDefault="007A5F88" w:rsidP="007A5F88">
      <w:pPr>
        <w:shd w:val="clear" w:color="auto" w:fill="000000"/>
        <w:tabs>
          <w:tab w:val="left" w:pos="0"/>
        </w:tabs>
        <w:jc w:val="center"/>
        <w:rPr>
          <w:color w:val="000000" w:themeColor="text1"/>
          <w:sz w:val="22"/>
          <w:szCs w:val="22"/>
        </w:rPr>
      </w:pPr>
      <w:r w:rsidRPr="001F0F0D">
        <w:rPr>
          <w:color w:val="FFFFFF" w:themeColor="background1"/>
          <w:sz w:val="22"/>
          <w:szCs w:val="22"/>
        </w:rPr>
        <w:t>DESCRIPTION AND OBJECTIVE</w:t>
      </w:r>
      <w:r>
        <w:rPr>
          <w:color w:val="FFFFFF" w:themeColor="background1"/>
          <w:sz w:val="22"/>
          <w:szCs w:val="22"/>
        </w:rPr>
        <w:t>S</w:t>
      </w:r>
    </w:p>
    <w:p w:rsidR="00AD7F1D" w:rsidRPr="00AD7F1D" w:rsidRDefault="00AD7F1D" w:rsidP="00AD7F1D">
      <w:pPr>
        <w:jc w:val="both"/>
        <w:rPr>
          <w:color w:val="000000" w:themeColor="text1"/>
          <w:sz w:val="22"/>
          <w:szCs w:val="22"/>
        </w:rPr>
      </w:pPr>
      <w:r w:rsidRPr="00AD7F1D">
        <w:rPr>
          <w:color w:val="000000" w:themeColor="text1"/>
          <w:sz w:val="22"/>
          <w:szCs w:val="22"/>
        </w:rPr>
        <w:t>Intermediate Financial discusses the advancement in financial market environment in which firms operate. It argues that the goal of financial manager should be to maximize the value of the firm and by doing so maximize the wealth of its owners. The main objective of this course is to give student an advanced understanding of financial environment, capital markets, mergers and international financial markets and its operations. Special attention will be given to the financial administrator’s role in the area of working capital, capital budgeting, and financing decisions. Major consideration will be given to capital investment decisions, the weighted average cost of capital, and investment decision-making criteria. In addition, we will take a closer look at the examination of equity and debt investments and to investment analysis. All concepts covered will be followed by practical applications using spreadsheets; the idea is to build a strong bridge between theory and practice while strengthening the student’s financial modeling skills.</w:t>
      </w:r>
    </w:p>
    <w:p w:rsidR="007A5F88" w:rsidRPr="001F0F0D" w:rsidRDefault="007A5F88" w:rsidP="007A5F88">
      <w:pPr>
        <w:rPr>
          <w:color w:val="000000" w:themeColor="text1"/>
          <w:sz w:val="22"/>
          <w:szCs w:val="22"/>
        </w:rPr>
      </w:pPr>
    </w:p>
    <w:p w:rsidR="007A5F88" w:rsidRPr="001F0F0D" w:rsidRDefault="007A5F88" w:rsidP="007A5F88">
      <w:pPr>
        <w:shd w:val="clear" w:color="auto" w:fill="000000"/>
        <w:tabs>
          <w:tab w:val="left" w:pos="3600"/>
        </w:tabs>
        <w:jc w:val="center"/>
        <w:rPr>
          <w:color w:val="FFFFFF" w:themeColor="background1"/>
          <w:sz w:val="22"/>
          <w:szCs w:val="22"/>
        </w:rPr>
      </w:pPr>
      <w:r w:rsidRPr="001F0F0D">
        <w:rPr>
          <w:color w:val="FFFFFF" w:themeColor="background1"/>
          <w:sz w:val="22"/>
          <w:szCs w:val="22"/>
        </w:rPr>
        <w:t>IN</w:t>
      </w:r>
      <w:r>
        <w:rPr>
          <w:color w:val="FFFFFF" w:themeColor="background1"/>
          <w:sz w:val="22"/>
          <w:szCs w:val="22"/>
        </w:rPr>
        <w:t>T</w:t>
      </w:r>
      <w:r w:rsidRPr="001F0F0D">
        <w:rPr>
          <w:color w:val="FFFFFF" w:themeColor="background1"/>
          <w:sz w:val="22"/>
          <w:szCs w:val="22"/>
        </w:rPr>
        <w:t>ENDED LEARNING OUT</w:t>
      </w:r>
      <w:r>
        <w:rPr>
          <w:color w:val="FFFFFF" w:themeColor="background1"/>
          <w:sz w:val="22"/>
          <w:szCs w:val="22"/>
        </w:rPr>
        <w:t>COMES</w:t>
      </w:r>
    </w:p>
    <w:p w:rsidR="003649AF" w:rsidRDefault="003649AF" w:rsidP="00AD7F1D">
      <w:pPr>
        <w:pStyle w:val="Default"/>
        <w:jc w:val="both"/>
        <w:rPr>
          <w:sz w:val="22"/>
          <w:szCs w:val="22"/>
        </w:rPr>
      </w:pPr>
      <w:r>
        <w:rPr>
          <w:sz w:val="22"/>
          <w:szCs w:val="22"/>
        </w:rPr>
        <w:t>Upon successful completion of the course students will be expecte</w:t>
      </w:r>
      <w:r w:rsidR="00AD7F1D">
        <w:rPr>
          <w:sz w:val="22"/>
          <w:szCs w:val="22"/>
        </w:rPr>
        <w:t xml:space="preserve">d to: 1-Analyze major </w:t>
      </w:r>
      <w:r>
        <w:rPr>
          <w:sz w:val="22"/>
          <w:szCs w:val="22"/>
        </w:rPr>
        <w:t xml:space="preserve">finance issues, 2- Demonstrate knowledge of the theory underpinning corporate valuation, 3-Demonstrate knowledge of the basics of risk and return for cost of capital valuation, 4- Recognize and understand the principles underlying risk management and options valuation, 5-Understand dividend policy for increasing shareholder value, 6-Value mergers and acquisitions </w:t>
      </w:r>
    </w:p>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COURSE CONTENTS</w:t>
      </w:r>
    </w:p>
    <w:p w:rsidR="007A5F88" w:rsidRPr="001F0F0D" w:rsidRDefault="007A5F88" w:rsidP="007A5F88">
      <w:pPr>
        <w:jc w:val="center"/>
        <w:rPr>
          <w:bCs/>
          <w:color w:val="000000" w:themeColor="text1"/>
          <w:sz w:val="22"/>
          <w:szCs w:val="22"/>
        </w:rPr>
      </w:pPr>
    </w:p>
    <w:p w:rsidR="007A5F88" w:rsidRPr="001F0F0D" w:rsidRDefault="007A5F88" w:rsidP="007A5F88">
      <w:pPr>
        <w:shd w:val="clear" w:color="auto" w:fill="000000"/>
        <w:tabs>
          <w:tab w:val="left" w:pos="3510"/>
          <w:tab w:val="left" w:pos="3600"/>
          <w:tab w:val="center" w:pos="4680"/>
          <w:tab w:val="left" w:pos="6112"/>
        </w:tabs>
        <w:rPr>
          <w:color w:val="000000" w:themeColor="text1"/>
          <w:sz w:val="22"/>
          <w:szCs w:val="22"/>
        </w:rPr>
      </w:pPr>
      <w:r>
        <w:rPr>
          <w:color w:val="FFFFFF" w:themeColor="background1"/>
          <w:sz w:val="22"/>
          <w:szCs w:val="22"/>
        </w:rPr>
        <w:tab/>
      </w:r>
      <w:r>
        <w:rPr>
          <w:color w:val="FFFFFF" w:themeColor="background1"/>
          <w:sz w:val="22"/>
          <w:szCs w:val="22"/>
        </w:rPr>
        <w:tab/>
      </w:r>
      <w:r>
        <w:rPr>
          <w:color w:val="FFFFFF" w:themeColor="background1"/>
          <w:sz w:val="22"/>
          <w:szCs w:val="22"/>
        </w:rPr>
        <w:tab/>
      </w:r>
      <w:r w:rsidRPr="001F0F0D">
        <w:rPr>
          <w:color w:val="FFFFFF" w:themeColor="background1"/>
          <w:sz w:val="22"/>
          <w:szCs w:val="22"/>
        </w:rPr>
        <w:t>COURSE SCHEDULE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859"/>
        <w:gridCol w:w="2605"/>
      </w:tblGrid>
      <w:tr w:rsidR="007A5F88" w:rsidRPr="001F0F0D" w:rsidTr="00F16ABC">
        <w:trPr>
          <w:jc w:val="center"/>
        </w:trPr>
        <w:tc>
          <w:tcPr>
            <w:tcW w:w="872" w:type="dxa"/>
          </w:tcPr>
          <w:p w:rsidR="007A5F88" w:rsidRPr="001F0F0D" w:rsidRDefault="007A5F88" w:rsidP="00F16ABC">
            <w:pPr>
              <w:jc w:val="center"/>
              <w:rPr>
                <w:b/>
                <w:color w:val="000000" w:themeColor="text1"/>
                <w:sz w:val="22"/>
                <w:szCs w:val="22"/>
              </w:rPr>
            </w:pPr>
          </w:p>
          <w:p w:rsidR="007A5F88" w:rsidRPr="001F0F0D" w:rsidRDefault="007A5F88" w:rsidP="00F16ABC">
            <w:pPr>
              <w:jc w:val="center"/>
              <w:rPr>
                <w:b/>
                <w:color w:val="000000" w:themeColor="text1"/>
                <w:sz w:val="22"/>
                <w:szCs w:val="22"/>
              </w:rPr>
            </w:pPr>
            <w:r w:rsidRPr="001F0F0D">
              <w:rPr>
                <w:b/>
                <w:color w:val="000000" w:themeColor="text1"/>
                <w:sz w:val="22"/>
                <w:szCs w:val="22"/>
              </w:rPr>
              <w:t xml:space="preserve">Week </w:t>
            </w:r>
          </w:p>
        </w:tc>
        <w:tc>
          <w:tcPr>
            <w:tcW w:w="5859" w:type="dxa"/>
          </w:tcPr>
          <w:p w:rsidR="007A5F88" w:rsidRPr="001F0F0D" w:rsidRDefault="007A5F88" w:rsidP="00F16ABC">
            <w:pPr>
              <w:pStyle w:val="Heading1"/>
              <w:jc w:val="center"/>
              <w:rPr>
                <w:rFonts w:ascii="Times New Roman" w:hAnsi="Times New Roman" w:cs="Times New Roman"/>
                <w:color w:val="000000" w:themeColor="text1"/>
                <w:sz w:val="22"/>
                <w:szCs w:val="22"/>
              </w:rPr>
            </w:pPr>
            <w:r w:rsidRPr="001F0F0D">
              <w:rPr>
                <w:rFonts w:ascii="Times New Roman" w:hAnsi="Times New Roman" w:cs="Times New Roman"/>
                <w:color w:val="000000" w:themeColor="text1"/>
                <w:sz w:val="22"/>
                <w:szCs w:val="22"/>
              </w:rPr>
              <w:t>Topics and Readings</w:t>
            </w:r>
          </w:p>
        </w:tc>
        <w:tc>
          <w:tcPr>
            <w:tcW w:w="2605" w:type="dxa"/>
          </w:tcPr>
          <w:p w:rsidR="007A5F88" w:rsidRPr="001F0F0D" w:rsidRDefault="007A5F88" w:rsidP="00F16ABC">
            <w:pPr>
              <w:pStyle w:val="Heading2"/>
              <w:rPr>
                <w:rFonts w:ascii="Times New Roman" w:hAnsi="Times New Roman" w:cs="Times New Roman"/>
                <w:i w:val="0"/>
                <w:color w:val="000000" w:themeColor="text1"/>
                <w:sz w:val="22"/>
                <w:szCs w:val="22"/>
              </w:rPr>
            </w:pPr>
            <w:proofErr w:type="gramStart"/>
            <w:r w:rsidRPr="001F0F0D">
              <w:rPr>
                <w:rFonts w:ascii="Times New Roman" w:hAnsi="Times New Roman" w:cs="Times New Roman"/>
                <w:i w:val="0"/>
                <w:color w:val="000000" w:themeColor="text1"/>
                <w:sz w:val="22"/>
                <w:szCs w:val="22"/>
              </w:rPr>
              <w:t>Books with Page No.</w:t>
            </w:r>
            <w:proofErr w:type="gramEnd"/>
          </w:p>
          <w:p w:rsidR="007A5F88" w:rsidRPr="001F0F0D" w:rsidRDefault="007A5F88" w:rsidP="00F16ABC">
            <w:pPr>
              <w:rPr>
                <w:sz w:val="22"/>
                <w:szCs w:val="22"/>
              </w:rPr>
            </w:pPr>
          </w:p>
        </w:tc>
      </w:tr>
      <w:tr w:rsidR="007A5F88" w:rsidRPr="001F0F0D" w:rsidTr="00F16ABC">
        <w:trPr>
          <w:trHeight w:val="341"/>
          <w:jc w:val="center"/>
        </w:trPr>
        <w:tc>
          <w:tcPr>
            <w:tcW w:w="872" w:type="dxa"/>
          </w:tcPr>
          <w:p w:rsidR="007A5F88" w:rsidRPr="001F0F0D" w:rsidRDefault="007A5F88" w:rsidP="00F16ABC">
            <w:pPr>
              <w:jc w:val="both"/>
              <w:rPr>
                <w:color w:val="000000" w:themeColor="text1"/>
                <w:sz w:val="22"/>
                <w:szCs w:val="22"/>
              </w:rPr>
            </w:pPr>
            <w:r w:rsidRPr="001F0F0D">
              <w:rPr>
                <w:color w:val="000000" w:themeColor="text1"/>
                <w:sz w:val="22"/>
                <w:szCs w:val="22"/>
              </w:rPr>
              <w:t>1</w:t>
            </w:r>
          </w:p>
        </w:tc>
        <w:tc>
          <w:tcPr>
            <w:tcW w:w="5859" w:type="dxa"/>
          </w:tcPr>
          <w:p w:rsidR="003E5BC9" w:rsidRPr="003E5BC9" w:rsidRDefault="003E5BC9" w:rsidP="003E5BC9">
            <w:pPr>
              <w:pStyle w:val="Default"/>
              <w:rPr>
                <w:iCs/>
                <w:sz w:val="22"/>
                <w:szCs w:val="22"/>
              </w:rPr>
            </w:pPr>
            <w:r w:rsidRPr="003E5BC9">
              <w:rPr>
                <w:iCs/>
                <w:sz w:val="22"/>
                <w:szCs w:val="22"/>
              </w:rPr>
              <w:t>Long Term Debt, Proffered Stock and Common Stock</w:t>
            </w:r>
          </w:p>
          <w:p w:rsidR="007A5F88" w:rsidRPr="001F0F0D" w:rsidRDefault="007A5F88" w:rsidP="007A0302">
            <w:pPr>
              <w:pStyle w:val="Default"/>
              <w:rPr>
                <w:color w:val="000000" w:themeColor="text1"/>
                <w:sz w:val="22"/>
                <w:szCs w:val="22"/>
              </w:rPr>
            </w:pPr>
          </w:p>
        </w:tc>
        <w:tc>
          <w:tcPr>
            <w:tcW w:w="2605" w:type="dxa"/>
          </w:tcPr>
          <w:p w:rsidR="007A5F88" w:rsidRPr="004A517C" w:rsidRDefault="004A517C" w:rsidP="00A46BF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393133">
              <w:rPr>
                <w:color w:val="000000" w:themeColor="text1"/>
                <w:shd w:val="clear" w:color="auto" w:fill="FFFFFF"/>
              </w:rPr>
              <w:t>527</w:t>
            </w:r>
          </w:p>
        </w:tc>
      </w:tr>
      <w:tr w:rsidR="002145E9" w:rsidRPr="001F0F0D" w:rsidTr="00F16ABC">
        <w:trPr>
          <w:trHeight w:val="341"/>
          <w:jc w:val="center"/>
        </w:trPr>
        <w:tc>
          <w:tcPr>
            <w:tcW w:w="872" w:type="dxa"/>
          </w:tcPr>
          <w:p w:rsidR="002145E9" w:rsidRPr="001F0F0D" w:rsidRDefault="002145E9" w:rsidP="00F16ABC">
            <w:pPr>
              <w:jc w:val="both"/>
              <w:rPr>
                <w:color w:val="000000" w:themeColor="text1"/>
                <w:sz w:val="22"/>
                <w:szCs w:val="22"/>
              </w:rPr>
            </w:pPr>
            <w:r>
              <w:rPr>
                <w:color w:val="000000" w:themeColor="text1"/>
                <w:sz w:val="22"/>
                <w:szCs w:val="22"/>
              </w:rPr>
              <w:t>2</w:t>
            </w:r>
          </w:p>
        </w:tc>
        <w:tc>
          <w:tcPr>
            <w:tcW w:w="5859" w:type="dxa"/>
          </w:tcPr>
          <w:p w:rsidR="003E5BC9" w:rsidRPr="003E5BC9" w:rsidRDefault="003E5BC9" w:rsidP="003E5BC9">
            <w:pPr>
              <w:pStyle w:val="Default"/>
              <w:rPr>
                <w:iCs/>
                <w:sz w:val="22"/>
                <w:szCs w:val="22"/>
              </w:rPr>
            </w:pPr>
            <w:r w:rsidRPr="003E5BC9">
              <w:rPr>
                <w:iCs/>
                <w:sz w:val="22"/>
                <w:szCs w:val="22"/>
              </w:rPr>
              <w:t>The Capital Market</w:t>
            </w:r>
          </w:p>
          <w:p w:rsidR="002145E9" w:rsidRPr="002145E9" w:rsidRDefault="002145E9" w:rsidP="00FD6705">
            <w:pPr>
              <w:pStyle w:val="Default"/>
              <w:rPr>
                <w:color w:val="000000" w:themeColor="text1"/>
                <w:sz w:val="22"/>
                <w:szCs w:val="22"/>
              </w:rPr>
            </w:pPr>
          </w:p>
        </w:tc>
        <w:tc>
          <w:tcPr>
            <w:tcW w:w="2605" w:type="dxa"/>
          </w:tcPr>
          <w:p w:rsidR="002145E9"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4273EE">
              <w:rPr>
                <w:color w:val="000000" w:themeColor="text1"/>
                <w:shd w:val="clear" w:color="auto" w:fill="FFFFFF"/>
              </w:rPr>
              <w:t>505</w:t>
            </w:r>
          </w:p>
        </w:tc>
      </w:tr>
      <w:tr w:rsidR="002145E9" w:rsidRPr="001F0F0D" w:rsidTr="00F16ABC">
        <w:trPr>
          <w:trHeight w:val="341"/>
          <w:jc w:val="center"/>
        </w:trPr>
        <w:tc>
          <w:tcPr>
            <w:tcW w:w="872" w:type="dxa"/>
          </w:tcPr>
          <w:p w:rsidR="002145E9" w:rsidRDefault="002145E9" w:rsidP="00F16ABC">
            <w:pPr>
              <w:jc w:val="both"/>
              <w:rPr>
                <w:color w:val="000000" w:themeColor="text1"/>
                <w:sz w:val="22"/>
                <w:szCs w:val="22"/>
              </w:rPr>
            </w:pPr>
            <w:r>
              <w:rPr>
                <w:color w:val="000000" w:themeColor="text1"/>
                <w:sz w:val="22"/>
                <w:szCs w:val="22"/>
              </w:rPr>
              <w:t>3</w:t>
            </w:r>
          </w:p>
        </w:tc>
        <w:tc>
          <w:tcPr>
            <w:tcW w:w="5859" w:type="dxa"/>
          </w:tcPr>
          <w:p w:rsidR="00D143D1" w:rsidRPr="00C450E3" w:rsidRDefault="00D143D1" w:rsidP="00C450E3">
            <w:pPr>
              <w:pStyle w:val="Default"/>
              <w:rPr>
                <w:iCs/>
                <w:sz w:val="22"/>
                <w:szCs w:val="22"/>
              </w:rPr>
            </w:pPr>
            <w:r w:rsidRPr="00C450E3">
              <w:rPr>
                <w:iCs/>
                <w:sz w:val="22"/>
                <w:szCs w:val="22"/>
              </w:rPr>
              <w:t>Intermediate and Long-Term Security Valuation</w:t>
            </w:r>
          </w:p>
          <w:p w:rsidR="002145E9" w:rsidRPr="002145E9" w:rsidRDefault="002145E9" w:rsidP="004152CE">
            <w:pPr>
              <w:pStyle w:val="Default"/>
              <w:rPr>
                <w:color w:val="000000" w:themeColor="text1"/>
                <w:sz w:val="22"/>
                <w:szCs w:val="22"/>
              </w:rPr>
            </w:pPr>
          </w:p>
        </w:tc>
        <w:tc>
          <w:tcPr>
            <w:tcW w:w="2605" w:type="dxa"/>
          </w:tcPr>
          <w:p w:rsidR="002145E9"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lastRenderedPageBreak/>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73</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lastRenderedPageBreak/>
              <w:t>4</w:t>
            </w:r>
          </w:p>
        </w:tc>
        <w:tc>
          <w:tcPr>
            <w:tcW w:w="5859" w:type="dxa"/>
          </w:tcPr>
          <w:p w:rsidR="004152CE" w:rsidRPr="006D6789" w:rsidRDefault="004152CE" w:rsidP="000E77F8">
            <w:pPr>
              <w:pStyle w:val="Default"/>
              <w:rPr>
                <w:iCs/>
                <w:sz w:val="22"/>
                <w:szCs w:val="22"/>
              </w:rPr>
            </w:pPr>
            <w:r w:rsidRPr="006D6789">
              <w:rPr>
                <w:iCs/>
                <w:sz w:val="22"/>
                <w:szCs w:val="22"/>
              </w:rPr>
              <w:t>Weighted Average Cost of Capital</w:t>
            </w:r>
          </w:p>
          <w:p w:rsidR="004152CE" w:rsidRPr="002145E9" w:rsidRDefault="004152CE" w:rsidP="000E77F8">
            <w:pPr>
              <w:pStyle w:val="Default"/>
              <w:rPr>
                <w:color w:val="000000" w:themeColor="text1"/>
                <w:sz w:val="22"/>
                <w:szCs w:val="22"/>
              </w:rPr>
            </w:pP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2738DF">
              <w:rPr>
                <w:color w:val="000000" w:themeColor="text1"/>
                <w:shd w:val="clear" w:color="auto" w:fill="FFFFFF"/>
              </w:rPr>
              <w:t>381</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5</w:t>
            </w:r>
          </w:p>
        </w:tc>
        <w:tc>
          <w:tcPr>
            <w:tcW w:w="5859" w:type="dxa"/>
          </w:tcPr>
          <w:p w:rsidR="004152CE" w:rsidRPr="006D6789" w:rsidRDefault="004152CE" w:rsidP="000E77F8">
            <w:pPr>
              <w:pStyle w:val="Default"/>
              <w:rPr>
                <w:iCs/>
                <w:sz w:val="22"/>
                <w:szCs w:val="22"/>
              </w:rPr>
            </w:pPr>
            <w:r w:rsidRPr="006D6789">
              <w:rPr>
                <w:iCs/>
                <w:sz w:val="22"/>
                <w:szCs w:val="22"/>
              </w:rPr>
              <w:t>Weighted Average Cost of Capital</w:t>
            </w:r>
          </w:p>
          <w:p w:rsidR="004152CE" w:rsidRPr="00083CAC" w:rsidRDefault="004152CE" w:rsidP="000E77F8">
            <w:pPr>
              <w:pStyle w:val="Default"/>
              <w:rPr>
                <w:sz w:val="22"/>
                <w:szCs w:val="22"/>
              </w:rPr>
            </w:pP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2738DF">
              <w:rPr>
                <w:color w:val="000000" w:themeColor="text1"/>
                <w:shd w:val="clear" w:color="auto" w:fill="FFFFFF"/>
              </w:rPr>
              <w:t>381</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6</w:t>
            </w:r>
          </w:p>
        </w:tc>
        <w:tc>
          <w:tcPr>
            <w:tcW w:w="5859" w:type="dxa"/>
          </w:tcPr>
          <w:p w:rsidR="004152CE" w:rsidRPr="00D143D1" w:rsidRDefault="00D143D1" w:rsidP="00D143D1">
            <w:pPr>
              <w:pStyle w:val="Default"/>
              <w:rPr>
                <w:iCs/>
                <w:color w:val="000000" w:themeColor="text1"/>
                <w:sz w:val="20"/>
                <w:szCs w:val="20"/>
              </w:rPr>
            </w:pPr>
            <w:r w:rsidRPr="00D143D1">
              <w:rPr>
                <w:iCs/>
                <w:sz w:val="22"/>
                <w:szCs w:val="22"/>
              </w:rPr>
              <w:t>Dividend Policy</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8A2863">
              <w:rPr>
                <w:color w:val="000000" w:themeColor="text1"/>
                <w:shd w:val="clear" w:color="auto" w:fill="FFFFFF"/>
              </w:rPr>
              <w:t>475</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7</w:t>
            </w:r>
          </w:p>
        </w:tc>
        <w:tc>
          <w:tcPr>
            <w:tcW w:w="5859" w:type="dxa"/>
          </w:tcPr>
          <w:p w:rsidR="004152CE" w:rsidRPr="008B7844" w:rsidRDefault="008B7844" w:rsidP="008B7844">
            <w:pPr>
              <w:pStyle w:val="Default"/>
              <w:rPr>
                <w:iCs/>
                <w:color w:val="000000" w:themeColor="text1"/>
                <w:sz w:val="20"/>
                <w:szCs w:val="20"/>
              </w:rPr>
            </w:pPr>
            <w:r w:rsidRPr="008B7844">
              <w:rPr>
                <w:iCs/>
                <w:color w:val="000000" w:themeColor="text1"/>
              </w:rPr>
              <w:t>Term Loan and Lease</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8A2863">
              <w:rPr>
                <w:color w:val="000000" w:themeColor="text1"/>
                <w:shd w:val="clear" w:color="auto" w:fill="FFFFFF"/>
              </w:rPr>
              <w:t>553</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8</w:t>
            </w:r>
          </w:p>
        </w:tc>
        <w:tc>
          <w:tcPr>
            <w:tcW w:w="5859" w:type="dxa"/>
          </w:tcPr>
          <w:p w:rsidR="004152CE" w:rsidRPr="00083CAC" w:rsidRDefault="008B7844" w:rsidP="00083CAC">
            <w:pPr>
              <w:pStyle w:val="Default"/>
              <w:rPr>
                <w:sz w:val="22"/>
                <w:szCs w:val="22"/>
              </w:rPr>
            </w:pPr>
            <w:r w:rsidRPr="008B7844">
              <w:rPr>
                <w:iCs/>
                <w:color w:val="000000" w:themeColor="text1"/>
              </w:rPr>
              <w:t>Term Loan and Lease</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8A2863">
              <w:rPr>
                <w:color w:val="000000" w:themeColor="text1"/>
                <w:shd w:val="clear" w:color="auto" w:fill="FFFFFF"/>
              </w:rPr>
              <w:t>553</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9</w:t>
            </w:r>
          </w:p>
        </w:tc>
        <w:tc>
          <w:tcPr>
            <w:tcW w:w="5859" w:type="dxa"/>
          </w:tcPr>
          <w:p w:rsidR="004152CE" w:rsidRPr="009C5A5E" w:rsidRDefault="009C5A5E" w:rsidP="009C5A5E">
            <w:pPr>
              <w:pStyle w:val="Default"/>
              <w:rPr>
                <w:iCs/>
                <w:color w:val="000000" w:themeColor="text1"/>
              </w:rPr>
            </w:pPr>
            <w:r w:rsidRPr="009C5A5E">
              <w:rPr>
                <w:iCs/>
                <w:color w:val="000000" w:themeColor="text1"/>
              </w:rPr>
              <w:t>Convertibles Exchangeable and Warrants</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782162">
              <w:rPr>
                <w:color w:val="000000" w:themeColor="text1"/>
                <w:shd w:val="clear" w:color="auto" w:fill="FFFFFF"/>
              </w:rPr>
              <w:t>57</w:t>
            </w:r>
            <w:r w:rsidR="00496FEE">
              <w:rPr>
                <w:color w:val="000000" w:themeColor="text1"/>
                <w:shd w:val="clear" w:color="auto" w:fill="FFFFFF"/>
              </w:rPr>
              <w:t>7</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10</w:t>
            </w:r>
          </w:p>
        </w:tc>
        <w:tc>
          <w:tcPr>
            <w:tcW w:w="5859" w:type="dxa"/>
          </w:tcPr>
          <w:p w:rsidR="004152CE" w:rsidRPr="009C5A5E" w:rsidRDefault="009C5A5E" w:rsidP="009C5A5E">
            <w:pPr>
              <w:pStyle w:val="Default"/>
              <w:rPr>
                <w:iCs/>
                <w:color w:val="000000" w:themeColor="text1"/>
              </w:rPr>
            </w:pPr>
            <w:r w:rsidRPr="009C5A5E">
              <w:rPr>
                <w:iCs/>
                <w:color w:val="000000" w:themeColor="text1"/>
              </w:rPr>
              <w:t>Mergers and other forms of Corporate Restructuring</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w:t>
            </w:r>
            <w:r w:rsidR="00F772BB">
              <w:rPr>
                <w:color w:val="000000" w:themeColor="text1"/>
                <w:shd w:val="clear" w:color="auto" w:fill="FFFFFF"/>
              </w:rPr>
              <w:t>age 60</w:t>
            </w:r>
            <w:r w:rsidR="00496FEE">
              <w:rPr>
                <w:color w:val="000000" w:themeColor="text1"/>
                <w:shd w:val="clear" w:color="auto" w:fill="FFFFFF"/>
              </w:rPr>
              <w:t>3</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11</w:t>
            </w:r>
          </w:p>
        </w:tc>
        <w:tc>
          <w:tcPr>
            <w:tcW w:w="5859" w:type="dxa"/>
          </w:tcPr>
          <w:p w:rsidR="004152CE" w:rsidRPr="009C5A5E" w:rsidRDefault="009C5A5E" w:rsidP="009C5A5E">
            <w:pPr>
              <w:pStyle w:val="Default"/>
              <w:rPr>
                <w:iCs/>
                <w:color w:val="000000" w:themeColor="text1"/>
              </w:rPr>
            </w:pPr>
            <w:r w:rsidRPr="009C5A5E">
              <w:rPr>
                <w:iCs/>
                <w:color w:val="000000" w:themeColor="text1"/>
              </w:rPr>
              <w:t>Mergers and other forms of Corporate Restructuring</w:t>
            </w:r>
          </w:p>
        </w:tc>
        <w:tc>
          <w:tcPr>
            <w:tcW w:w="2605" w:type="dxa"/>
          </w:tcPr>
          <w:p w:rsidR="004152CE" w:rsidRPr="001F0F0D" w:rsidRDefault="004A517C" w:rsidP="006D6789">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w:t>
            </w:r>
            <w:r w:rsidR="00F772BB">
              <w:rPr>
                <w:color w:val="000000" w:themeColor="text1"/>
                <w:shd w:val="clear" w:color="auto" w:fill="FFFFFF"/>
              </w:rPr>
              <w:t>age 60</w:t>
            </w:r>
            <w:r w:rsidR="00496FEE">
              <w:rPr>
                <w:color w:val="000000" w:themeColor="text1"/>
                <w:shd w:val="clear" w:color="auto" w:fill="FFFFFF"/>
              </w:rPr>
              <w:t>3</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12</w:t>
            </w:r>
          </w:p>
        </w:tc>
        <w:tc>
          <w:tcPr>
            <w:tcW w:w="5859" w:type="dxa"/>
          </w:tcPr>
          <w:p w:rsidR="004152CE" w:rsidRPr="00990263" w:rsidRDefault="00990263" w:rsidP="00990263">
            <w:pPr>
              <w:pStyle w:val="Default"/>
              <w:rPr>
                <w:iCs/>
                <w:color w:val="000000" w:themeColor="text1"/>
              </w:rPr>
            </w:pPr>
            <w:r w:rsidRPr="00990263">
              <w:rPr>
                <w:iCs/>
                <w:color w:val="000000" w:themeColor="text1"/>
              </w:rPr>
              <w:t>International Financial Management</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7168EF">
              <w:rPr>
                <w:color w:val="000000" w:themeColor="text1"/>
                <w:shd w:val="clear" w:color="auto" w:fill="FFFFFF"/>
              </w:rPr>
              <w:t>64</w:t>
            </w:r>
            <w:r w:rsidR="00496FEE">
              <w:rPr>
                <w:color w:val="000000" w:themeColor="text1"/>
                <w:shd w:val="clear" w:color="auto" w:fill="FFFFFF"/>
              </w:rPr>
              <w:t>7</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13</w:t>
            </w:r>
          </w:p>
        </w:tc>
        <w:tc>
          <w:tcPr>
            <w:tcW w:w="5859" w:type="dxa"/>
          </w:tcPr>
          <w:p w:rsidR="004152CE" w:rsidRPr="00990263" w:rsidRDefault="00990263" w:rsidP="00990263">
            <w:pPr>
              <w:pStyle w:val="Default"/>
              <w:rPr>
                <w:iCs/>
                <w:color w:val="000000" w:themeColor="text1"/>
              </w:rPr>
            </w:pPr>
            <w:r w:rsidRPr="00990263">
              <w:rPr>
                <w:iCs/>
                <w:color w:val="000000" w:themeColor="text1"/>
              </w:rPr>
              <w:t>International Financial Management</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7168EF">
              <w:rPr>
                <w:color w:val="000000" w:themeColor="text1"/>
                <w:shd w:val="clear" w:color="auto" w:fill="FFFFFF"/>
              </w:rPr>
              <w:t>64</w:t>
            </w:r>
            <w:r w:rsidR="00496FEE">
              <w:rPr>
                <w:color w:val="000000" w:themeColor="text1"/>
                <w:shd w:val="clear" w:color="auto" w:fill="FFFFFF"/>
              </w:rPr>
              <w:t>7</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14</w:t>
            </w:r>
          </w:p>
        </w:tc>
        <w:tc>
          <w:tcPr>
            <w:tcW w:w="5859" w:type="dxa"/>
          </w:tcPr>
          <w:p w:rsidR="004152CE" w:rsidRPr="00990263" w:rsidRDefault="00990263" w:rsidP="00990263">
            <w:pPr>
              <w:pStyle w:val="Default"/>
              <w:rPr>
                <w:iCs/>
                <w:color w:val="000000" w:themeColor="text1"/>
              </w:rPr>
            </w:pPr>
            <w:r w:rsidRPr="00990263">
              <w:rPr>
                <w:iCs/>
                <w:color w:val="000000" w:themeColor="text1"/>
              </w:rPr>
              <w:t>Hedging and Exchange rate risk</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461E0D">
              <w:rPr>
                <w:color w:val="000000" w:themeColor="text1"/>
                <w:shd w:val="clear" w:color="auto" w:fill="FFFFFF"/>
              </w:rPr>
              <w:t>589</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15</w:t>
            </w:r>
          </w:p>
        </w:tc>
        <w:tc>
          <w:tcPr>
            <w:tcW w:w="5859" w:type="dxa"/>
          </w:tcPr>
          <w:p w:rsidR="004152CE" w:rsidRPr="00990263" w:rsidRDefault="00990263" w:rsidP="00990263">
            <w:pPr>
              <w:pStyle w:val="Default"/>
              <w:rPr>
                <w:iCs/>
                <w:color w:val="000000" w:themeColor="text1"/>
              </w:rPr>
            </w:pPr>
            <w:r w:rsidRPr="00990263">
              <w:rPr>
                <w:iCs/>
                <w:color w:val="000000" w:themeColor="text1"/>
              </w:rPr>
              <w:t>Hedging and Exchange rate risk</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461E0D">
              <w:rPr>
                <w:color w:val="000000" w:themeColor="text1"/>
                <w:shd w:val="clear" w:color="auto" w:fill="FFFFFF"/>
              </w:rPr>
              <w:t>589</w:t>
            </w:r>
          </w:p>
        </w:tc>
      </w:tr>
      <w:tr w:rsidR="004152CE" w:rsidRPr="001F0F0D" w:rsidTr="00F16ABC">
        <w:trPr>
          <w:trHeight w:val="341"/>
          <w:jc w:val="center"/>
        </w:trPr>
        <w:tc>
          <w:tcPr>
            <w:tcW w:w="872" w:type="dxa"/>
          </w:tcPr>
          <w:p w:rsidR="004152CE" w:rsidRDefault="004152CE" w:rsidP="00F16ABC">
            <w:pPr>
              <w:jc w:val="both"/>
              <w:rPr>
                <w:color w:val="000000" w:themeColor="text1"/>
                <w:sz w:val="22"/>
                <w:szCs w:val="22"/>
              </w:rPr>
            </w:pPr>
            <w:r>
              <w:rPr>
                <w:color w:val="000000" w:themeColor="text1"/>
                <w:sz w:val="22"/>
                <w:szCs w:val="22"/>
              </w:rPr>
              <w:t>16</w:t>
            </w:r>
          </w:p>
        </w:tc>
        <w:tc>
          <w:tcPr>
            <w:tcW w:w="5859" w:type="dxa"/>
          </w:tcPr>
          <w:p w:rsidR="004152CE" w:rsidRPr="00990263" w:rsidRDefault="00990263" w:rsidP="00990263">
            <w:pPr>
              <w:pStyle w:val="Default"/>
              <w:rPr>
                <w:iCs/>
                <w:color w:val="000000" w:themeColor="text1"/>
              </w:rPr>
            </w:pPr>
            <w:r w:rsidRPr="00990263">
              <w:rPr>
                <w:iCs/>
                <w:color w:val="000000" w:themeColor="text1"/>
              </w:rPr>
              <w:t>Structuring International Trade Transaction</w:t>
            </w:r>
          </w:p>
        </w:tc>
        <w:tc>
          <w:tcPr>
            <w:tcW w:w="2605" w:type="dxa"/>
          </w:tcPr>
          <w:p w:rsidR="004152CE" w:rsidRPr="001F0F0D" w:rsidRDefault="004A517C" w:rsidP="00F16ABC">
            <w:pPr>
              <w:rPr>
                <w:color w:val="000000" w:themeColor="text1"/>
                <w:sz w:val="22"/>
                <w:szCs w:val="22"/>
              </w:rPr>
            </w:pPr>
            <w:r w:rsidRPr="004A517C">
              <w:rPr>
                <w:iCs/>
                <w:color w:val="000000" w:themeColor="text1"/>
                <w:sz w:val="22"/>
                <w:szCs w:val="22"/>
                <w:lang w:val="en-MY"/>
              </w:rPr>
              <w:t xml:space="preserve">Fundamentals of financial management by </w:t>
            </w:r>
            <w:r w:rsidRPr="004A517C">
              <w:rPr>
                <w:color w:val="000000" w:themeColor="text1"/>
                <w:shd w:val="clear" w:color="auto" w:fill="FFFFFF"/>
              </w:rPr>
              <w:t xml:space="preserve">Horne and </w:t>
            </w:r>
            <w:proofErr w:type="spellStart"/>
            <w:r w:rsidRPr="004A517C">
              <w:rPr>
                <w:color w:val="000000" w:themeColor="text1"/>
                <w:shd w:val="clear" w:color="auto" w:fill="FFFFFF"/>
              </w:rPr>
              <w:t>Wachowicz</w:t>
            </w:r>
            <w:proofErr w:type="spellEnd"/>
            <w:r w:rsidRPr="004A517C">
              <w:rPr>
                <w:color w:val="000000" w:themeColor="text1"/>
                <w:shd w:val="clear" w:color="auto" w:fill="FFFFFF"/>
              </w:rPr>
              <w:t xml:space="preserve"> (</w:t>
            </w:r>
            <w:proofErr w:type="gramStart"/>
            <w:r w:rsidRPr="004A517C">
              <w:rPr>
                <w:color w:val="000000" w:themeColor="text1"/>
                <w:shd w:val="clear" w:color="auto" w:fill="FFFFFF"/>
              </w:rPr>
              <w:t>13</w:t>
            </w:r>
            <w:r w:rsidRPr="004A517C">
              <w:rPr>
                <w:color w:val="000000" w:themeColor="text1"/>
                <w:shd w:val="clear" w:color="auto" w:fill="FFFFFF"/>
                <w:vertAlign w:val="superscript"/>
              </w:rPr>
              <w:t>th</w:t>
            </w:r>
            <w:r w:rsidRPr="004A517C">
              <w:rPr>
                <w:color w:val="000000" w:themeColor="text1"/>
                <w:shd w:val="clear" w:color="auto" w:fill="FFFFFF"/>
              </w:rPr>
              <w:t xml:space="preserve">  ed</w:t>
            </w:r>
            <w:proofErr w:type="gramEnd"/>
            <w:r w:rsidRPr="004A517C">
              <w:rPr>
                <w:color w:val="000000" w:themeColor="text1"/>
                <w:shd w:val="clear" w:color="auto" w:fill="FFFFFF"/>
              </w:rPr>
              <w:t>.)</w:t>
            </w:r>
            <w:r w:rsidR="00496FEE">
              <w:rPr>
                <w:color w:val="000000" w:themeColor="text1"/>
                <w:shd w:val="clear" w:color="auto" w:fill="FFFFFF"/>
              </w:rPr>
              <w:t xml:space="preserve"> Page </w:t>
            </w:r>
            <w:r w:rsidR="00461E0D">
              <w:rPr>
                <w:color w:val="000000" w:themeColor="text1"/>
                <w:shd w:val="clear" w:color="auto" w:fill="FFFFFF"/>
              </w:rPr>
              <w:lastRenderedPageBreak/>
              <w:t>647</w:t>
            </w:r>
          </w:p>
        </w:tc>
      </w:tr>
    </w:tbl>
    <w:p w:rsidR="007A5F88" w:rsidRPr="001F0F0D" w:rsidRDefault="007A5F88" w:rsidP="007A5F88">
      <w:pPr>
        <w:rPr>
          <w:color w:val="000000" w:themeColor="text1"/>
          <w:sz w:val="22"/>
          <w:szCs w:val="22"/>
        </w:rPr>
      </w:pP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RESEARCH PROJECT /PRACTICAL</w:t>
      </w:r>
      <w:r>
        <w:rPr>
          <w:color w:val="FFFFFF" w:themeColor="background1"/>
          <w:sz w:val="22"/>
          <w:szCs w:val="22"/>
        </w:rPr>
        <w:t xml:space="preserve">S </w:t>
      </w:r>
      <w:r w:rsidRPr="001F0F0D">
        <w:rPr>
          <w:color w:val="FFFFFF" w:themeColor="background1"/>
          <w:sz w:val="22"/>
          <w:szCs w:val="22"/>
        </w:rPr>
        <w:t>/LABS</w:t>
      </w:r>
      <w:r>
        <w:rPr>
          <w:color w:val="FFFFFF" w:themeColor="background1"/>
          <w:sz w:val="22"/>
          <w:szCs w:val="22"/>
        </w:rPr>
        <w:t xml:space="preserve"> </w:t>
      </w:r>
      <w:r w:rsidRPr="001F0F0D">
        <w:rPr>
          <w:color w:val="FFFFFF" w:themeColor="background1"/>
          <w:sz w:val="22"/>
          <w:szCs w:val="22"/>
        </w:rPr>
        <w:t>/ASSIGNMENTS</w:t>
      </w:r>
    </w:p>
    <w:p w:rsidR="007A5F88" w:rsidRPr="001F0F0D" w:rsidRDefault="007A5F88" w:rsidP="007A5F88">
      <w:pPr>
        <w:rPr>
          <w:color w:val="000000" w:themeColor="text1"/>
          <w:sz w:val="22"/>
          <w:szCs w:val="22"/>
        </w:rPr>
      </w:pPr>
    </w:p>
    <w:p w:rsidR="007A5F88" w:rsidRPr="001F0F0D" w:rsidRDefault="00CD36B6" w:rsidP="007A5F88">
      <w:pPr>
        <w:tabs>
          <w:tab w:val="left" w:pos="1035"/>
        </w:tabs>
        <w:rPr>
          <w:color w:val="000000" w:themeColor="text1"/>
          <w:sz w:val="22"/>
          <w:szCs w:val="22"/>
        </w:rPr>
      </w:pPr>
      <w:r>
        <w:rPr>
          <w:color w:val="000000" w:themeColor="text1"/>
          <w:sz w:val="22"/>
          <w:szCs w:val="22"/>
        </w:rPr>
        <w:t>Research Project and Class Assignments</w:t>
      </w:r>
    </w:p>
    <w:p w:rsidR="007A5F88" w:rsidRPr="001F0F0D" w:rsidRDefault="007A5F88" w:rsidP="007A5F88">
      <w:pPr>
        <w:shd w:val="clear" w:color="auto" w:fill="000000"/>
        <w:jc w:val="center"/>
        <w:rPr>
          <w:color w:val="FFFFFF" w:themeColor="background1"/>
          <w:sz w:val="22"/>
          <w:szCs w:val="22"/>
        </w:rPr>
      </w:pPr>
      <w:r w:rsidRPr="001F0F0D">
        <w:rPr>
          <w:color w:val="FFFFFF" w:themeColor="background1"/>
          <w:sz w:val="22"/>
          <w:szCs w:val="22"/>
        </w:rPr>
        <w:t xml:space="preserve">  ASSESSMENT CRITERIA </w:t>
      </w:r>
    </w:p>
    <w:p w:rsidR="007A5F88" w:rsidRDefault="00AF6329" w:rsidP="007A5F88">
      <w:pPr>
        <w:rPr>
          <w:color w:val="000000" w:themeColor="text1"/>
          <w:sz w:val="22"/>
          <w:szCs w:val="22"/>
        </w:rPr>
      </w:pPr>
      <w:r>
        <w:rPr>
          <w:color w:val="000000" w:themeColor="text1"/>
          <w:sz w:val="22"/>
          <w:szCs w:val="22"/>
        </w:rPr>
        <w:t>Final Term Marks</w:t>
      </w:r>
      <w:r>
        <w:rPr>
          <w:color w:val="000000" w:themeColor="text1"/>
          <w:sz w:val="22"/>
          <w:szCs w:val="22"/>
        </w:rPr>
        <w:tab/>
      </w:r>
      <w:r>
        <w:rPr>
          <w:color w:val="000000" w:themeColor="text1"/>
          <w:sz w:val="22"/>
          <w:szCs w:val="22"/>
        </w:rPr>
        <w:tab/>
        <w:t>25</w:t>
      </w:r>
      <w:r w:rsidR="00CD36B6">
        <w:rPr>
          <w:color w:val="000000" w:themeColor="text1"/>
          <w:sz w:val="22"/>
          <w:szCs w:val="22"/>
        </w:rPr>
        <w:t xml:space="preserve"> Percent</w:t>
      </w:r>
    </w:p>
    <w:p w:rsidR="00AF6329" w:rsidRDefault="00AF6329" w:rsidP="007A5F88">
      <w:pPr>
        <w:rPr>
          <w:color w:val="000000" w:themeColor="text1"/>
          <w:sz w:val="22"/>
          <w:szCs w:val="22"/>
        </w:rPr>
      </w:pPr>
      <w:r>
        <w:rPr>
          <w:color w:val="000000" w:themeColor="text1"/>
          <w:sz w:val="22"/>
          <w:szCs w:val="22"/>
        </w:rPr>
        <w:t>VIVA</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25 Percent</w:t>
      </w:r>
    </w:p>
    <w:p w:rsidR="00CD36B6" w:rsidRDefault="00CD36B6" w:rsidP="007A5F88">
      <w:pPr>
        <w:rPr>
          <w:color w:val="000000" w:themeColor="text1"/>
          <w:sz w:val="22"/>
          <w:szCs w:val="22"/>
        </w:rPr>
      </w:pPr>
      <w:r>
        <w:rPr>
          <w:color w:val="000000" w:themeColor="text1"/>
          <w:sz w:val="22"/>
          <w:szCs w:val="22"/>
        </w:rPr>
        <w:t>Mid Term Marks</w:t>
      </w:r>
      <w:r>
        <w:rPr>
          <w:color w:val="000000" w:themeColor="text1"/>
          <w:sz w:val="22"/>
          <w:szCs w:val="22"/>
        </w:rPr>
        <w:tab/>
      </w:r>
      <w:r>
        <w:rPr>
          <w:color w:val="000000" w:themeColor="text1"/>
          <w:sz w:val="22"/>
          <w:szCs w:val="22"/>
        </w:rPr>
        <w:tab/>
        <w:t>30 Percent</w:t>
      </w:r>
    </w:p>
    <w:p w:rsidR="00CD36B6" w:rsidRPr="001F0F0D" w:rsidRDefault="00CD36B6" w:rsidP="007A5F88">
      <w:pPr>
        <w:rPr>
          <w:color w:val="000000" w:themeColor="text1"/>
          <w:sz w:val="22"/>
          <w:szCs w:val="22"/>
        </w:rPr>
      </w:pPr>
      <w:proofErr w:type="spellStart"/>
      <w:r>
        <w:rPr>
          <w:color w:val="000000" w:themeColor="text1"/>
          <w:sz w:val="22"/>
          <w:szCs w:val="22"/>
        </w:rPr>
        <w:t>Sessional</w:t>
      </w:r>
      <w:proofErr w:type="spellEnd"/>
      <w:r>
        <w:rPr>
          <w:color w:val="000000" w:themeColor="text1"/>
          <w:sz w:val="22"/>
          <w:szCs w:val="22"/>
        </w:rPr>
        <w:t xml:space="preserve"> Marks</w:t>
      </w:r>
      <w:r>
        <w:rPr>
          <w:color w:val="000000" w:themeColor="text1"/>
          <w:sz w:val="22"/>
          <w:szCs w:val="22"/>
        </w:rPr>
        <w:tab/>
      </w:r>
      <w:r>
        <w:rPr>
          <w:color w:val="000000" w:themeColor="text1"/>
          <w:sz w:val="22"/>
          <w:szCs w:val="22"/>
        </w:rPr>
        <w:tab/>
        <w:t>20 Percent</w:t>
      </w:r>
    </w:p>
    <w:sectPr w:rsidR="00CD36B6" w:rsidRPr="001F0F0D" w:rsidSect="00B56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FEE"/>
    <w:multiLevelType w:val="hybridMultilevel"/>
    <w:tmpl w:val="E752F314"/>
    <w:lvl w:ilvl="0" w:tplc="5A0C081A">
      <w:start w:val="1"/>
      <w:numFmt w:val="decimal"/>
      <w:lvlText w:val="%1."/>
      <w:lvlJc w:val="left"/>
      <w:pPr>
        <w:tabs>
          <w:tab w:val="num" w:pos="360"/>
        </w:tabs>
        <w:ind w:left="360" w:hanging="360"/>
      </w:pPr>
      <w:rPr>
        <w:rFonts w:hint="default"/>
        <w:b w:val="0"/>
        <w:i w:val="0"/>
        <w:i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0F4191A"/>
    <w:multiLevelType w:val="hybridMultilevel"/>
    <w:tmpl w:val="AEB0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42AEF"/>
    <w:multiLevelType w:val="hybridMultilevel"/>
    <w:tmpl w:val="12C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F88"/>
    <w:rsid w:val="0002432B"/>
    <w:rsid w:val="00083CAC"/>
    <w:rsid w:val="00087F78"/>
    <w:rsid w:val="000C5C3C"/>
    <w:rsid w:val="00122D48"/>
    <w:rsid w:val="0013031D"/>
    <w:rsid w:val="00187F1D"/>
    <w:rsid w:val="001D2B7C"/>
    <w:rsid w:val="001F205F"/>
    <w:rsid w:val="001F3081"/>
    <w:rsid w:val="002023D0"/>
    <w:rsid w:val="002145E9"/>
    <w:rsid w:val="002542F3"/>
    <w:rsid w:val="002738DF"/>
    <w:rsid w:val="002C352F"/>
    <w:rsid w:val="002D20A0"/>
    <w:rsid w:val="00326211"/>
    <w:rsid w:val="0034042D"/>
    <w:rsid w:val="003649AF"/>
    <w:rsid w:val="00374AF2"/>
    <w:rsid w:val="00393133"/>
    <w:rsid w:val="003E5BC9"/>
    <w:rsid w:val="004152CE"/>
    <w:rsid w:val="004273EE"/>
    <w:rsid w:val="00460483"/>
    <w:rsid w:val="00461E0D"/>
    <w:rsid w:val="00496FEE"/>
    <w:rsid w:val="004A2EC2"/>
    <w:rsid w:val="004A517C"/>
    <w:rsid w:val="004A61F6"/>
    <w:rsid w:val="00547CE9"/>
    <w:rsid w:val="00594044"/>
    <w:rsid w:val="005947E6"/>
    <w:rsid w:val="005B0D84"/>
    <w:rsid w:val="005E4F35"/>
    <w:rsid w:val="00602864"/>
    <w:rsid w:val="006D6789"/>
    <w:rsid w:val="006F1C2C"/>
    <w:rsid w:val="007168EF"/>
    <w:rsid w:val="00782162"/>
    <w:rsid w:val="00785156"/>
    <w:rsid w:val="00785E79"/>
    <w:rsid w:val="007A0302"/>
    <w:rsid w:val="007A5F88"/>
    <w:rsid w:val="007B6C8D"/>
    <w:rsid w:val="00845B5C"/>
    <w:rsid w:val="008661EA"/>
    <w:rsid w:val="008A2863"/>
    <w:rsid w:val="008B7844"/>
    <w:rsid w:val="008C0322"/>
    <w:rsid w:val="008D71CB"/>
    <w:rsid w:val="00903EA7"/>
    <w:rsid w:val="00922112"/>
    <w:rsid w:val="009450CF"/>
    <w:rsid w:val="00965EC6"/>
    <w:rsid w:val="00990263"/>
    <w:rsid w:val="009C5A5E"/>
    <w:rsid w:val="009E2F74"/>
    <w:rsid w:val="00A46BFC"/>
    <w:rsid w:val="00AB4905"/>
    <w:rsid w:val="00AD7F1D"/>
    <w:rsid w:val="00AD7F45"/>
    <w:rsid w:val="00AF07DB"/>
    <w:rsid w:val="00AF6329"/>
    <w:rsid w:val="00B56BD2"/>
    <w:rsid w:val="00B71248"/>
    <w:rsid w:val="00B96118"/>
    <w:rsid w:val="00BA67A1"/>
    <w:rsid w:val="00BD2ADC"/>
    <w:rsid w:val="00C20121"/>
    <w:rsid w:val="00C450E3"/>
    <w:rsid w:val="00C97AB8"/>
    <w:rsid w:val="00CA258C"/>
    <w:rsid w:val="00CD36B6"/>
    <w:rsid w:val="00D143D1"/>
    <w:rsid w:val="00D72086"/>
    <w:rsid w:val="00D921AA"/>
    <w:rsid w:val="00DA5B9C"/>
    <w:rsid w:val="00EE5F44"/>
    <w:rsid w:val="00F41242"/>
    <w:rsid w:val="00F772BB"/>
    <w:rsid w:val="00F93394"/>
    <w:rsid w:val="00FD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5F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5F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88"/>
    <w:rPr>
      <w:rFonts w:ascii="Arial" w:eastAsia="Times New Roman" w:hAnsi="Arial" w:cs="Arial"/>
      <w:b/>
      <w:bCs/>
      <w:kern w:val="32"/>
      <w:sz w:val="32"/>
      <w:szCs w:val="32"/>
    </w:rPr>
  </w:style>
  <w:style w:type="character" w:customStyle="1" w:styleId="Heading2Char">
    <w:name w:val="Heading 2 Char"/>
    <w:basedOn w:val="DefaultParagraphFont"/>
    <w:link w:val="Heading2"/>
    <w:rsid w:val="007A5F88"/>
    <w:rPr>
      <w:rFonts w:ascii="Arial" w:eastAsia="Times New Roman" w:hAnsi="Arial" w:cs="Arial"/>
      <w:b/>
      <w:bCs/>
      <w:i/>
      <w:iCs/>
      <w:sz w:val="28"/>
      <w:szCs w:val="28"/>
    </w:rPr>
  </w:style>
  <w:style w:type="paragraph" w:styleId="ListParagraph">
    <w:name w:val="List Paragraph"/>
    <w:basedOn w:val="Normal"/>
    <w:uiPriority w:val="34"/>
    <w:qFormat/>
    <w:rsid w:val="007A5F88"/>
    <w:pPr>
      <w:ind w:left="720"/>
      <w:contextualSpacing/>
    </w:pPr>
  </w:style>
  <w:style w:type="paragraph" w:customStyle="1" w:styleId="Default">
    <w:name w:val="Default"/>
    <w:rsid w:val="007A03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cp:lastModifiedBy>
  <cp:revision>2</cp:revision>
  <dcterms:created xsi:type="dcterms:W3CDTF">2020-11-03T06:03:00Z</dcterms:created>
  <dcterms:modified xsi:type="dcterms:W3CDTF">2020-11-03T06:03:00Z</dcterms:modified>
</cp:coreProperties>
</file>