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94" w:rsidRPr="00F6252D" w:rsidRDefault="00872B94" w:rsidP="00872B94">
      <w:pPr>
        <w:autoSpaceDE w:val="0"/>
        <w:autoSpaceDN w:val="0"/>
        <w:adjustRightInd w:val="0"/>
        <w:spacing w:line="360" w:lineRule="auto"/>
        <w:ind w:right="-720"/>
        <w:jc w:val="both"/>
        <w:rPr>
          <w:rFonts w:eastAsiaTheme="minorHAnsi"/>
          <w:b/>
          <w:sz w:val="24"/>
          <w:szCs w:val="24"/>
        </w:rPr>
      </w:pPr>
      <w:r w:rsidRPr="00F6252D">
        <w:rPr>
          <w:rFonts w:eastAsiaTheme="minorHAnsi"/>
          <w:b/>
          <w:sz w:val="24"/>
          <w:szCs w:val="24"/>
        </w:rPr>
        <w:t>Choice and Form of Main Entry:</w:t>
      </w:r>
      <w:bookmarkStart w:id="0" w:name="_GoBack"/>
      <w:bookmarkEnd w:id="0"/>
    </w:p>
    <w:p w:rsidR="00872B94" w:rsidRPr="00F6252D" w:rsidRDefault="00872B94" w:rsidP="00872B94">
      <w:p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 xml:space="preserve">The first task facing the cataloguer is to determine the choice of main entry. The general principle of main entry is to enter a work under the person(s) or corporate body responsible for its intellectual content. In the case of books the chief source of information is usually the title page. Record the information exactly as it appears on the title page. Information appearing elsewhere in the item may be used in the catalogue entry. Take care to ensure the consistent spelling of the author entry within the catalogue (in current practice, editors and compilers are never given a main entry although they were in the past). In current practice, authors are always entered under the commonly known name (e.g., Mark </w:t>
      </w:r>
      <w:proofErr w:type="gramStart"/>
      <w:r w:rsidRPr="00F6252D">
        <w:rPr>
          <w:rFonts w:eastAsiaTheme="minorHAnsi"/>
          <w:sz w:val="24"/>
          <w:szCs w:val="24"/>
        </w:rPr>
        <w:t>Twain</w:t>
      </w:r>
      <w:proofErr w:type="gramEnd"/>
      <w:r w:rsidRPr="00F6252D">
        <w:rPr>
          <w:rFonts w:eastAsiaTheme="minorHAnsi"/>
          <w:sz w:val="24"/>
          <w:szCs w:val="24"/>
        </w:rPr>
        <w:t xml:space="preserve"> is under Twain, Mark rather than Clemens, Samuel Langhorne). The general rule for titles of nobility is to employ the most commonly used name. An aristocrat may be entered under his or her family name or title (e.g., the Duke of Wellington is entered under his title rather than his family name).</w:t>
      </w:r>
    </w:p>
    <w:p w:rsidR="00872B94" w:rsidRPr="00F6252D" w:rsidRDefault="00872B94" w:rsidP="00872B94">
      <w:pPr>
        <w:autoSpaceDE w:val="0"/>
        <w:autoSpaceDN w:val="0"/>
        <w:adjustRightInd w:val="0"/>
        <w:spacing w:line="360" w:lineRule="auto"/>
        <w:ind w:right="-720"/>
        <w:jc w:val="both"/>
        <w:rPr>
          <w:rFonts w:eastAsiaTheme="minorHAnsi"/>
          <w:b/>
          <w:sz w:val="24"/>
          <w:szCs w:val="24"/>
        </w:rPr>
      </w:pPr>
      <w:r w:rsidRPr="00F6252D">
        <w:rPr>
          <w:rFonts w:eastAsiaTheme="minorHAnsi"/>
          <w:b/>
          <w:sz w:val="24"/>
          <w:szCs w:val="24"/>
        </w:rPr>
        <w:t>Author Main Entry</w:t>
      </w:r>
    </w:p>
    <w:p w:rsidR="00872B94" w:rsidRPr="00F6252D" w:rsidRDefault="00872B94" w:rsidP="00872B94">
      <w:p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The author’s name appears on the top line of the card four lines from the top of the card and indented nine spaces from the left margin to allow for the entry of long Dewey numbers. The surname is given first, followed by a comma, and then the given names of the author in the usual order. Inclusion of birth and death dates is optional. Personal name main entries are placed in the 100 field of the MARC record.</w:t>
      </w:r>
    </w:p>
    <w:p w:rsidR="00872B94" w:rsidRPr="00F6252D" w:rsidRDefault="00872B94" w:rsidP="00872B94">
      <w:pPr>
        <w:autoSpaceDE w:val="0"/>
        <w:autoSpaceDN w:val="0"/>
        <w:adjustRightInd w:val="0"/>
        <w:spacing w:line="360" w:lineRule="auto"/>
        <w:ind w:right="-720"/>
        <w:jc w:val="both"/>
        <w:rPr>
          <w:rFonts w:eastAsiaTheme="minorHAnsi"/>
          <w:sz w:val="24"/>
          <w:szCs w:val="24"/>
        </w:rPr>
      </w:pPr>
      <w:r w:rsidRPr="00F6252D">
        <w:rPr>
          <w:rFonts w:eastAsiaTheme="minorHAnsi"/>
          <w:noProof/>
          <w:sz w:val="24"/>
          <w:szCs w:val="24"/>
        </w:rPr>
        <w:drawing>
          <wp:inline distT="0" distB="0" distL="0" distR="0" wp14:anchorId="7FE15C58" wp14:editId="03A099A1">
            <wp:extent cx="6400800" cy="2104803"/>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2104803"/>
                    </a:xfrm>
                    <a:prstGeom prst="rect">
                      <a:avLst/>
                    </a:prstGeom>
                    <a:noFill/>
                    <a:ln>
                      <a:noFill/>
                    </a:ln>
                  </pic:spPr>
                </pic:pic>
              </a:graphicData>
            </a:graphic>
          </wp:inline>
        </w:drawing>
      </w:r>
    </w:p>
    <w:p w:rsidR="00872B94" w:rsidRPr="00F6252D" w:rsidRDefault="00872B94" w:rsidP="00872B94">
      <w:pPr>
        <w:autoSpaceDE w:val="0"/>
        <w:autoSpaceDN w:val="0"/>
        <w:adjustRightInd w:val="0"/>
        <w:spacing w:line="360" w:lineRule="auto"/>
        <w:ind w:right="-720"/>
        <w:jc w:val="both"/>
        <w:rPr>
          <w:rFonts w:eastAsiaTheme="minorHAnsi"/>
          <w:b/>
          <w:sz w:val="24"/>
          <w:szCs w:val="24"/>
        </w:rPr>
      </w:pPr>
      <w:r w:rsidRPr="00F6252D">
        <w:rPr>
          <w:rFonts w:eastAsiaTheme="minorHAnsi"/>
          <w:b/>
          <w:sz w:val="24"/>
          <w:szCs w:val="24"/>
        </w:rPr>
        <w:t>Corporate Body Main Entry</w:t>
      </w:r>
    </w:p>
    <w:p w:rsidR="00872B94" w:rsidRPr="00F6252D" w:rsidRDefault="00872B94" w:rsidP="00872B94">
      <w:p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Library may have materials that are the products of a corporate group such as associations, governments, business firms, and conferences. Rule 21.1B2 of AACR2 defines a corporate body as an organization or a group that acts as an entity and is identified by a particular name. When a corporate body is responsible for the intellectual content of a work, the main entry is listed under the corporate body. If there is doubt on the part of the cataloguer, main entry is by title. Always enter governments and government departments and committees under the name of the</w:t>
      </w:r>
    </w:p>
    <w:p w:rsidR="00872B94" w:rsidRPr="00F6252D" w:rsidRDefault="00872B94" w:rsidP="00872B94">
      <w:pPr>
        <w:autoSpaceDE w:val="0"/>
        <w:autoSpaceDN w:val="0"/>
        <w:adjustRightInd w:val="0"/>
        <w:spacing w:line="360" w:lineRule="auto"/>
        <w:ind w:right="-720"/>
        <w:jc w:val="both"/>
        <w:rPr>
          <w:rFonts w:eastAsiaTheme="minorHAnsi"/>
          <w:sz w:val="24"/>
          <w:szCs w:val="24"/>
        </w:rPr>
      </w:pPr>
      <w:proofErr w:type="gramStart"/>
      <w:r w:rsidRPr="00F6252D">
        <w:rPr>
          <w:rFonts w:eastAsiaTheme="minorHAnsi"/>
          <w:sz w:val="24"/>
          <w:szCs w:val="24"/>
        </w:rPr>
        <w:lastRenderedPageBreak/>
        <w:t>country</w:t>
      </w:r>
      <w:proofErr w:type="gramEnd"/>
      <w:r w:rsidRPr="00F6252D">
        <w:rPr>
          <w:rFonts w:eastAsiaTheme="minorHAnsi"/>
          <w:sz w:val="24"/>
          <w:szCs w:val="24"/>
        </w:rPr>
        <w:t>, province, or local jurisdiction. Corporate main entries are placed in the 110 MARC field.</w:t>
      </w:r>
    </w:p>
    <w:p w:rsidR="00872B94" w:rsidRPr="00F6252D" w:rsidRDefault="00872B94" w:rsidP="00872B94">
      <w:pPr>
        <w:autoSpaceDE w:val="0"/>
        <w:autoSpaceDN w:val="0"/>
        <w:adjustRightInd w:val="0"/>
        <w:spacing w:line="360" w:lineRule="auto"/>
        <w:ind w:right="-720"/>
        <w:jc w:val="both"/>
        <w:rPr>
          <w:rFonts w:eastAsiaTheme="minorHAnsi"/>
          <w:sz w:val="24"/>
          <w:szCs w:val="24"/>
        </w:rPr>
      </w:pPr>
      <w:r w:rsidRPr="00F6252D">
        <w:rPr>
          <w:rFonts w:eastAsiaTheme="minorHAnsi"/>
          <w:noProof/>
          <w:sz w:val="24"/>
          <w:szCs w:val="24"/>
        </w:rPr>
        <w:drawing>
          <wp:inline distT="0" distB="0" distL="0" distR="0" wp14:anchorId="43325A21" wp14:editId="7DB87701">
            <wp:extent cx="6400800" cy="2967572"/>
            <wp:effectExtent l="0" t="0" r="0" b="44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2967572"/>
                    </a:xfrm>
                    <a:prstGeom prst="rect">
                      <a:avLst/>
                    </a:prstGeom>
                    <a:noFill/>
                    <a:ln>
                      <a:noFill/>
                    </a:ln>
                  </pic:spPr>
                </pic:pic>
              </a:graphicData>
            </a:graphic>
          </wp:inline>
        </w:drawing>
      </w:r>
    </w:p>
    <w:p w:rsidR="00872B94" w:rsidRPr="00F6252D" w:rsidRDefault="00872B94" w:rsidP="00872B94">
      <w:pPr>
        <w:autoSpaceDE w:val="0"/>
        <w:autoSpaceDN w:val="0"/>
        <w:adjustRightInd w:val="0"/>
        <w:spacing w:line="360" w:lineRule="auto"/>
        <w:ind w:right="-720"/>
        <w:jc w:val="both"/>
        <w:rPr>
          <w:rFonts w:eastAsiaTheme="minorHAnsi"/>
          <w:b/>
          <w:sz w:val="24"/>
          <w:szCs w:val="24"/>
        </w:rPr>
      </w:pPr>
      <w:r w:rsidRPr="00F6252D">
        <w:rPr>
          <w:rFonts w:eastAsiaTheme="minorHAnsi"/>
          <w:b/>
          <w:sz w:val="24"/>
          <w:szCs w:val="24"/>
        </w:rPr>
        <w:t>Personal Name Added Entry</w:t>
      </w:r>
    </w:p>
    <w:p w:rsidR="00872B94" w:rsidRPr="00F6252D" w:rsidRDefault="00872B94" w:rsidP="00872B94">
      <w:p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 xml:space="preserve">If there is more than one author or an illustrator listed on the title page, record only the first author as the main entry. An added entry is made for the second author or illustrator. If three or more authors appear on the title page, main entry is by title. For MARC the tracings for individuals such as editors, illustrators, and secondary authors are entered in the 700 field. The field may be repeated as often as necessary. If an individual or corporate body has been recorded in the statement of responsibility area, it is traced in the appropriate 700 or 7 </w:t>
      </w:r>
      <w:proofErr w:type="gramStart"/>
      <w:r w:rsidRPr="00F6252D">
        <w:rPr>
          <w:rFonts w:eastAsiaTheme="minorHAnsi"/>
          <w:sz w:val="24"/>
          <w:szCs w:val="24"/>
        </w:rPr>
        <w:t>field</w:t>
      </w:r>
      <w:proofErr w:type="gramEnd"/>
      <w:r w:rsidRPr="00F6252D">
        <w:rPr>
          <w:rFonts w:eastAsiaTheme="minorHAnsi"/>
          <w:sz w:val="24"/>
          <w:szCs w:val="24"/>
        </w:rPr>
        <w:t>. Corporate added entries follow the same general format but are entered in the 710 field.</w:t>
      </w:r>
    </w:p>
    <w:p w:rsidR="00872B94" w:rsidRPr="00F6252D" w:rsidRDefault="00872B94" w:rsidP="00872B94">
      <w:pPr>
        <w:autoSpaceDE w:val="0"/>
        <w:autoSpaceDN w:val="0"/>
        <w:adjustRightInd w:val="0"/>
        <w:spacing w:line="360" w:lineRule="auto"/>
        <w:ind w:right="-720"/>
        <w:jc w:val="both"/>
        <w:rPr>
          <w:rFonts w:eastAsiaTheme="minorHAnsi"/>
          <w:sz w:val="24"/>
          <w:szCs w:val="24"/>
        </w:rPr>
      </w:pPr>
      <w:r w:rsidRPr="00F6252D">
        <w:rPr>
          <w:rFonts w:eastAsiaTheme="minorHAnsi"/>
          <w:noProof/>
          <w:sz w:val="24"/>
          <w:szCs w:val="24"/>
        </w:rPr>
        <w:drawing>
          <wp:inline distT="0" distB="0" distL="0" distR="0" wp14:anchorId="28BA6B75" wp14:editId="12B9385B">
            <wp:extent cx="6400800" cy="1744238"/>
            <wp:effectExtent l="0" t="0" r="0" b="889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1744238"/>
                    </a:xfrm>
                    <a:prstGeom prst="rect">
                      <a:avLst/>
                    </a:prstGeom>
                    <a:noFill/>
                    <a:ln>
                      <a:noFill/>
                    </a:ln>
                  </pic:spPr>
                </pic:pic>
              </a:graphicData>
            </a:graphic>
          </wp:inline>
        </w:drawing>
      </w:r>
    </w:p>
    <w:p w:rsidR="00872B94" w:rsidRPr="00F6252D" w:rsidRDefault="00872B94" w:rsidP="00872B94">
      <w:p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(Added entry)</w:t>
      </w:r>
    </w:p>
    <w:p w:rsidR="00872B94" w:rsidRPr="00F6252D" w:rsidRDefault="00872B94" w:rsidP="00872B94">
      <w:pPr>
        <w:autoSpaceDE w:val="0"/>
        <w:autoSpaceDN w:val="0"/>
        <w:adjustRightInd w:val="0"/>
        <w:spacing w:line="360" w:lineRule="auto"/>
        <w:ind w:right="-720"/>
        <w:jc w:val="both"/>
        <w:rPr>
          <w:rFonts w:eastAsiaTheme="minorHAnsi"/>
          <w:sz w:val="24"/>
          <w:szCs w:val="24"/>
        </w:rPr>
      </w:pPr>
      <w:r w:rsidRPr="00F6252D">
        <w:rPr>
          <w:rFonts w:eastAsiaTheme="minorHAnsi"/>
          <w:noProof/>
          <w:sz w:val="24"/>
          <w:szCs w:val="24"/>
        </w:rPr>
        <w:lastRenderedPageBreak/>
        <w:drawing>
          <wp:inline distT="0" distB="0" distL="0" distR="0" wp14:anchorId="66B3AE28" wp14:editId="162D3017">
            <wp:extent cx="6400800" cy="1933657"/>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933657"/>
                    </a:xfrm>
                    <a:prstGeom prst="rect">
                      <a:avLst/>
                    </a:prstGeom>
                    <a:noFill/>
                    <a:ln>
                      <a:noFill/>
                    </a:ln>
                  </pic:spPr>
                </pic:pic>
              </a:graphicData>
            </a:graphic>
          </wp:inline>
        </w:drawing>
      </w:r>
    </w:p>
    <w:p w:rsidR="00872B94" w:rsidRPr="00F6252D" w:rsidRDefault="00872B94" w:rsidP="00872B94">
      <w:pPr>
        <w:autoSpaceDE w:val="0"/>
        <w:autoSpaceDN w:val="0"/>
        <w:adjustRightInd w:val="0"/>
        <w:spacing w:line="360" w:lineRule="auto"/>
        <w:ind w:right="-720"/>
        <w:jc w:val="both"/>
        <w:rPr>
          <w:rFonts w:eastAsiaTheme="minorHAnsi"/>
          <w:b/>
          <w:sz w:val="24"/>
          <w:szCs w:val="24"/>
        </w:rPr>
      </w:pPr>
      <w:r w:rsidRPr="00F6252D">
        <w:rPr>
          <w:rFonts w:eastAsiaTheme="minorHAnsi"/>
          <w:b/>
          <w:sz w:val="24"/>
          <w:szCs w:val="24"/>
        </w:rPr>
        <w:t>Main Entry by Title:</w:t>
      </w:r>
    </w:p>
    <w:p w:rsidR="00872B94" w:rsidRPr="00F6252D" w:rsidRDefault="00872B94" w:rsidP="00872B94">
      <w:p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If no author is listed, or three or more persons or corporate bodies are listed, the main entry is by title. Make an added entry only for the first author named. The remaining authors or corporate bodies are not recorded by name in the statement of responsibility but grouped under the heading [et al.]; neither are they traced. Works entered under title are typed in a form called a hanging indention. The main entry begins on the fourth line from the top of the card. The call number begins on the fourth line and is indented one space from the edge of the card. The title begins nine spaces from the left margin and is continued at the second indention. In MARC title main entries are placed in the 245 field.</w:t>
      </w:r>
    </w:p>
    <w:p w:rsidR="00872B94" w:rsidRPr="00F6252D" w:rsidRDefault="00872B94" w:rsidP="00872B94">
      <w:pPr>
        <w:autoSpaceDE w:val="0"/>
        <w:autoSpaceDN w:val="0"/>
        <w:adjustRightInd w:val="0"/>
        <w:spacing w:line="360" w:lineRule="auto"/>
        <w:ind w:right="-720"/>
        <w:jc w:val="both"/>
        <w:rPr>
          <w:rFonts w:eastAsiaTheme="minorHAnsi"/>
          <w:sz w:val="24"/>
          <w:szCs w:val="24"/>
        </w:rPr>
      </w:pPr>
      <w:r w:rsidRPr="00F6252D">
        <w:rPr>
          <w:rFonts w:eastAsiaTheme="minorHAnsi"/>
          <w:noProof/>
          <w:sz w:val="24"/>
          <w:szCs w:val="24"/>
        </w:rPr>
        <w:drawing>
          <wp:inline distT="0" distB="0" distL="0" distR="0" wp14:anchorId="5E9AA9FC" wp14:editId="6E781B42">
            <wp:extent cx="6400800" cy="1807378"/>
            <wp:effectExtent l="0" t="0" r="0" b="254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807378"/>
                    </a:xfrm>
                    <a:prstGeom prst="rect">
                      <a:avLst/>
                    </a:prstGeom>
                    <a:noFill/>
                    <a:ln>
                      <a:noFill/>
                    </a:ln>
                  </pic:spPr>
                </pic:pic>
              </a:graphicData>
            </a:graphic>
          </wp:inline>
        </w:drawing>
      </w:r>
    </w:p>
    <w:p w:rsidR="00872B94" w:rsidRPr="00F6252D" w:rsidRDefault="00872B94" w:rsidP="00872B94">
      <w:pPr>
        <w:autoSpaceDE w:val="0"/>
        <w:autoSpaceDN w:val="0"/>
        <w:adjustRightInd w:val="0"/>
        <w:spacing w:line="360" w:lineRule="auto"/>
        <w:ind w:right="-720"/>
        <w:jc w:val="both"/>
        <w:rPr>
          <w:rFonts w:eastAsiaTheme="minorHAnsi"/>
          <w:b/>
          <w:sz w:val="24"/>
          <w:szCs w:val="24"/>
        </w:rPr>
      </w:pPr>
      <w:r w:rsidRPr="00F6252D">
        <w:rPr>
          <w:rFonts w:eastAsiaTheme="minorHAnsi"/>
          <w:b/>
          <w:sz w:val="24"/>
          <w:szCs w:val="24"/>
        </w:rPr>
        <w:t>Books with Editors or Compilers:</w:t>
      </w:r>
    </w:p>
    <w:p w:rsidR="00872B94" w:rsidRPr="00F6252D" w:rsidRDefault="00872B94" w:rsidP="00872B94">
      <w:p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Books without a clearly identifiable author are treated as title main entries. In cases where an editor or compiler is named as responsible for the work, main entry is again by title. Note that the title of the item is recorded first in the statement of responsibility area and is followed by the editor. The editor is traced at the bottom of the card. The indention pattern is different when the T-slip begins with the title. The second and succeeding lines are indented two spaces under the first line. Again the 245 MARC field tag is the subject of attention.</w:t>
      </w:r>
    </w:p>
    <w:p w:rsidR="00872B94" w:rsidRPr="00F6252D" w:rsidRDefault="00872B94" w:rsidP="00872B94">
      <w:pPr>
        <w:autoSpaceDE w:val="0"/>
        <w:autoSpaceDN w:val="0"/>
        <w:adjustRightInd w:val="0"/>
        <w:spacing w:line="360" w:lineRule="auto"/>
        <w:ind w:right="-720"/>
        <w:jc w:val="both"/>
        <w:rPr>
          <w:rFonts w:eastAsiaTheme="minorHAnsi"/>
          <w:sz w:val="24"/>
          <w:szCs w:val="24"/>
        </w:rPr>
      </w:pPr>
      <w:r w:rsidRPr="00F6252D">
        <w:rPr>
          <w:rFonts w:eastAsiaTheme="minorHAnsi"/>
          <w:noProof/>
          <w:sz w:val="24"/>
          <w:szCs w:val="24"/>
        </w:rPr>
        <w:lastRenderedPageBreak/>
        <w:drawing>
          <wp:inline distT="0" distB="0" distL="0" distR="0" wp14:anchorId="10BAB6B4" wp14:editId="65FFD774">
            <wp:extent cx="6400800" cy="2154647"/>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154647"/>
                    </a:xfrm>
                    <a:prstGeom prst="rect">
                      <a:avLst/>
                    </a:prstGeom>
                    <a:noFill/>
                    <a:ln>
                      <a:noFill/>
                    </a:ln>
                  </pic:spPr>
                </pic:pic>
              </a:graphicData>
            </a:graphic>
          </wp:inline>
        </w:drawing>
      </w:r>
    </w:p>
    <w:p w:rsidR="00872B94" w:rsidRPr="00F6252D" w:rsidRDefault="00872B94" w:rsidP="00872B94">
      <w:pPr>
        <w:autoSpaceDE w:val="0"/>
        <w:autoSpaceDN w:val="0"/>
        <w:adjustRightInd w:val="0"/>
        <w:spacing w:line="360" w:lineRule="auto"/>
        <w:ind w:right="-720"/>
        <w:jc w:val="both"/>
        <w:rPr>
          <w:rFonts w:eastAsiaTheme="minorHAnsi"/>
          <w:b/>
          <w:sz w:val="24"/>
          <w:szCs w:val="24"/>
        </w:rPr>
      </w:pPr>
      <w:r w:rsidRPr="00F6252D">
        <w:rPr>
          <w:rFonts w:eastAsiaTheme="minorHAnsi"/>
          <w:b/>
          <w:sz w:val="24"/>
          <w:szCs w:val="24"/>
        </w:rPr>
        <w:t xml:space="preserve">Books with </w:t>
      </w:r>
      <w:proofErr w:type="spellStart"/>
      <w:r w:rsidRPr="00F6252D">
        <w:rPr>
          <w:rFonts w:eastAsiaTheme="minorHAnsi"/>
          <w:b/>
          <w:sz w:val="24"/>
          <w:szCs w:val="24"/>
        </w:rPr>
        <w:t>Retellers</w:t>
      </w:r>
      <w:proofErr w:type="spellEnd"/>
      <w:r w:rsidRPr="00F6252D">
        <w:rPr>
          <w:rFonts w:eastAsiaTheme="minorHAnsi"/>
          <w:b/>
          <w:sz w:val="24"/>
          <w:szCs w:val="24"/>
        </w:rPr>
        <w:t xml:space="preserve"> or Adaptors:</w:t>
      </w:r>
    </w:p>
    <w:p w:rsidR="00872B94" w:rsidRPr="00F6252D" w:rsidRDefault="00872B94" w:rsidP="00872B94">
      <w:p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In cases where there is an adaptor, this individual is given the main entry and an added entry is given to the original author (if there is one). This situation is commonly encountered with the works of the Brothers Grimm and Hans Christian Andersen. The 245 MARC field tag is used.</w:t>
      </w:r>
    </w:p>
    <w:p w:rsidR="00872B94" w:rsidRPr="00F6252D" w:rsidRDefault="00872B94" w:rsidP="00872B94">
      <w:pPr>
        <w:autoSpaceDE w:val="0"/>
        <w:autoSpaceDN w:val="0"/>
        <w:adjustRightInd w:val="0"/>
        <w:spacing w:line="360" w:lineRule="auto"/>
        <w:ind w:right="-720"/>
        <w:jc w:val="both"/>
        <w:rPr>
          <w:rFonts w:ascii="Arial" w:eastAsiaTheme="minorHAnsi" w:hAnsi="Arial" w:cs="Arial"/>
          <w:sz w:val="24"/>
          <w:szCs w:val="24"/>
        </w:rPr>
      </w:pPr>
      <w:r w:rsidRPr="00F6252D">
        <w:rPr>
          <w:rFonts w:ascii="Arial" w:eastAsiaTheme="minorHAnsi" w:hAnsi="Arial" w:cs="Arial"/>
          <w:sz w:val="24"/>
          <w:szCs w:val="24"/>
        </w:rPr>
        <w:t>(Main entry)</w:t>
      </w:r>
    </w:p>
    <w:p w:rsidR="00872B94" w:rsidRPr="00F6252D" w:rsidRDefault="00872B94" w:rsidP="00872B94">
      <w:pPr>
        <w:autoSpaceDE w:val="0"/>
        <w:autoSpaceDN w:val="0"/>
        <w:adjustRightInd w:val="0"/>
        <w:spacing w:line="360" w:lineRule="auto"/>
        <w:ind w:right="-720"/>
        <w:jc w:val="both"/>
        <w:rPr>
          <w:rFonts w:ascii="Arial" w:eastAsiaTheme="minorHAnsi" w:hAnsi="Arial" w:cs="Arial"/>
          <w:sz w:val="24"/>
          <w:szCs w:val="24"/>
        </w:rPr>
      </w:pPr>
      <w:r w:rsidRPr="00F6252D">
        <w:rPr>
          <w:rFonts w:ascii="Arial" w:eastAsiaTheme="minorHAnsi" w:hAnsi="Arial" w:cs="Arial"/>
          <w:noProof/>
          <w:sz w:val="24"/>
          <w:szCs w:val="24"/>
        </w:rPr>
        <w:drawing>
          <wp:inline distT="0" distB="0" distL="0" distR="0" wp14:anchorId="22F96298" wp14:editId="544838CF">
            <wp:extent cx="6400800" cy="1935310"/>
            <wp:effectExtent l="0" t="0" r="0" b="825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935310"/>
                    </a:xfrm>
                    <a:prstGeom prst="rect">
                      <a:avLst/>
                    </a:prstGeom>
                    <a:noFill/>
                    <a:ln>
                      <a:noFill/>
                    </a:ln>
                  </pic:spPr>
                </pic:pic>
              </a:graphicData>
            </a:graphic>
          </wp:inline>
        </w:drawing>
      </w:r>
    </w:p>
    <w:p w:rsidR="00872B94" w:rsidRPr="00F6252D" w:rsidRDefault="00872B94" w:rsidP="00872B94">
      <w:pPr>
        <w:autoSpaceDE w:val="0"/>
        <w:autoSpaceDN w:val="0"/>
        <w:adjustRightInd w:val="0"/>
        <w:spacing w:line="360" w:lineRule="auto"/>
        <w:ind w:right="-720"/>
        <w:jc w:val="both"/>
        <w:rPr>
          <w:rFonts w:ascii="Arial" w:eastAsiaTheme="minorHAnsi" w:hAnsi="Arial" w:cs="Arial"/>
          <w:sz w:val="24"/>
          <w:szCs w:val="24"/>
        </w:rPr>
      </w:pPr>
      <w:r w:rsidRPr="00F6252D">
        <w:rPr>
          <w:rFonts w:ascii="Arial" w:eastAsiaTheme="minorHAnsi" w:hAnsi="Arial" w:cs="Arial"/>
          <w:sz w:val="24"/>
          <w:szCs w:val="24"/>
        </w:rPr>
        <w:t>(Added entry)</w:t>
      </w:r>
    </w:p>
    <w:p w:rsidR="00872B94" w:rsidRPr="00872B94" w:rsidRDefault="00872B94" w:rsidP="00872B94">
      <w:pPr>
        <w:autoSpaceDE w:val="0"/>
        <w:autoSpaceDN w:val="0"/>
        <w:adjustRightInd w:val="0"/>
        <w:spacing w:line="360" w:lineRule="auto"/>
        <w:ind w:right="-720"/>
        <w:jc w:val="both"/>
        <w:rPr>
          <w:rFonts w:ascii="Arial" w:eastAsiaTheme="minorHAnsi" w:hAnsi="Arial" w:cs="Arial"/>
          <w:sz w:val="24"/>
          <w:szCs w:val="24"/>
        </w:rPr>
      </w:pPr>
      <w:r w:rsidRPr="00F6252D">
        <w:rPr>
          <w:rFonts w:ascii="Arial" w:eastAsiaTheme="minorHAnsi" w:hAnsi="Arial" w:cs="Arial"/>
          <w:noProof/>
          <w:sz w:val="24"/>
          <w:szCs w:val="24"/>
        </w:rPr>
        <w:drawing>
          <wp:inline distT="0" distB="0" distL="0" distR="0" wp14:anchorId="71B84400" wp14:editId="451595EE">
            <wp:extent cx="6400800" cy="2138862"/>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138862"/>
                    </a:xfrm>
                    <a:prstGeom prst="rect">
                      <a:avLst/>
                    </a:prstGeom>
                    <a:noFill/>
                    <a:ln>
                      <a:noFill/>
                    </a:ln>
                  </pic:spPr>
                </pic:pic>
              </a:graphicData>
            </a:graphic>
          </wp:inline>
        </w:drawing>
      </w:r>
    </w:p>
    <w:p w:rsidR="00F97465" w:rsidRDefault="00872B94"/>
    <w:sectPr w:rsidR="00F97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94"/>
    <w:rsid w:val="002C07A0"/>
    <w:rsid w:val="00872B94"/>
    <w:rsid w:val="00D3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B94"/>
    <w:rPr>
      <w:rFonts w:ascii="Tahoma" w:hAnsi="Tahoma" w:cs="Tahoma"/>
      <w:sz w:val="16"/>
      <w:szCs w:val="16"/>
    </w:rPr>
  </w:style>
  <w:style w:type="character" w:customStyle="1" w:styleId="BalloonTextChar">
    <w:name w:val="Balloon Text Char"/>
    <w:basedOn w:val="DefaultParagraphFont"/>
    <w:link w:val="BalloonText"/>
    <w:uiPriority w:val="99"/>
    <w:semiHidden/>
    <w:rsid w:val="00872B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B94"/>
    <w:rPr>
      <w:rFonts w:ascii="Tahoma" w:hAnsi="Tahoma" w:cs="Tahoma"/>
      <w:sz w:val="16"/>
      <w:szCs w:val="16"/>
    </w:rPr>
  </w:style>
  <w:style w:type="character" w:customStyle="1" w:styleId="BalloonTextChar">
    <w:name w:val="Balloon Text Char"/>
    <w:basedOn w:val="DefaultParagraphFont"/>
    <w:link w:val="BalloonText"/>
    <w:uiPriority w:val="99"/>
    <w:semiHidden/>
    <w:rsid w:val="00872B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 shah</dc:creator>
  <cp:lastModifiedBy>zuni shah</cp:lastModifiedBy>
  <cp:revision>1</cp:revision>
  <dcterms:created xsi:type="dcterms:W3CDTF">2020-06-05T15:17:00Z</dcterms:created>
  <dcterms:modified xsi:type="dcterms:W3CDTF">2020-06-05T15:20:00Z</dcterms:modified>
</cp:coreProperties>
</file>