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D" w:rsidRPr="008B1AC7" w:rsidRDefault="008B1AC7" w:rsidP="008B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C7">
        <w:rPr>
          <w:rFonts w:ascii="Times New Roman" w:hAnsi="Times New Roman" w:cs="Times New Roman"/>
          <w:b/>
          <w:sz w:val="28"/>
          <w:szCs w:val="28"/>
        </w:rPr>
        <w:t>Descriptive cataloging</w:t>
      </w:r>
    </w:p>
    <w:p w:rsidR="00F97465" w:rsidRDefault="00EF4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Descriptive</w:t>
      </w:r>
      <w:r w:rsidRPr="00EF4A5C">
        <w:rPr>
          <w:rFonts w:ascii="Times New Roman" w:hAnsi="Times New Roman" w:cs="Times New Roman"/>
          <w:sz w:val="24"/>
          <w:szCs w:val="24"/>
        </w:rPr>
        <w:t xml:space="preserve"> cataloging</w:t>
      </w:r>
      <w:r>
        <w:rPr>
          <w:rFonts w:ascii="Times New Roman" w:hAnsi="Times New Roman" w:cs="Times New Roman"/>
          <w:sz w:val="24"/>
          <w:szCs w:val="24"/>
        </w:rPr>
        <w:t xml:space="preserve"> is the first step in cataloging library materi</w:t>
      </w:r>
      <w:r w:rsidRPr="00EF4A5C">
        <w:rPr>
          <w:rFonts w:ascii="Times New Roman" w:hAnsi="Times New Roman" w:cs="Times New Roman"/>
          <w:sz w:val="24"/>
          <w:szCs w:val="24"/>
        </w:rPr>
        <w:t>als.</w:t>
      </w:r>
      <w:r>
        <w:rPr>
          <w:rFonts w:ascii="Times New Roman" w:hAnsi="Times New Roman" w:cs="Times New Roman"/>
          <w:sz w:val="24"/>
          <w:szCs w:val="24"/>
        </w:rPr>
        <w:t xml:space="preserve"> Descriptive cataloging involves describing the ma</w:t>
      </w:r>
      <w:r w:rsidRPr="00EF4A5C">
        <w:rPr>
          <w:rFonts w:ascii="Times New Roman" w:hAnsi="Times New Roman" w:cs="Times New Roman"/>
          <w:sz w:val="24"/>
          <w:szCs w:val="24"/>
        </w:rPr>
        <w:t>terial first, then deciding the entries to com</w:t>
      </w:r>
      <w:r>
        <w:rPr>
          <w:rFonts w:ascii="Times New Roman" w:hAnsi="Times New Roman" w:cs="Times New Roman"/>
          <w:sz w:val="24"/>
          <w:szCs w:val="24"/>
        </w:rPr>
        <w:t>plete the process. For the purpose of consistency, a refe</w:t>
      </w:r>
      <w:r w:rsidRPr="00EF4A5C">
        <w:rPr>
          <w:rFonts w:ascii="Times New Roman" w:hAnsi="Times New Roman" w:cs="Times New Roman"/>
          <w:sz w:val="24"/>
          <w:szCs w:val="24"/>
        </w:rPr>
        <w:t>rence book t</w:t>
      </w:r>
      <w:r>
        <w:rPr>
          <w:rFonts w:ascii="Times New Roman" w:hAnsi="Times New Roman" w:cs="Times New Roman"/>
          <w:sz w:val="24"/>
          <w:szCs w:val="24"/>
        </w:rPr>
        <w:t>itled An</w:t>
      </w:r>
      <w:r w:rsidRPr="00EF4A5C">
        <w:rPr>
          <w:rFonts w:ascii="Times New Roman" w:hAnsi="Times New Roman" w:cs="Times New Roman"/>
          <w:sz w:val="24"/>
          <w:szCs w:val="24"/>
        </w:rPr>
        <w:t>glo</w:t>
      </w:r>
      <w:r>
        <w:rPr>
          <w:rFonts w:ascii="Times New Roman" w:hAnsi="Times New Roman" w:cs="Times New Roman"/>
          <w:sz w:val="24"/>
          <w:szCs w:val="24"/>
        </w:rPr>
        <w:t>-American Cataloguing Rules, Seco</w:t>
      </w:r>
      <w:r w:rsidRPr="00EF4A5C">
        <w:rPr>
          <w:rFonts w:ascii="Times New Roman" w:hAnsi="Times New Roman" w:cs="Times New Roman"/>
          <w:sz w:val="24"/>
          <w:szCs w:val="24"/>
        </w:rPr>
        <w:t>nd Edit ion, 1998 Re</w:t>
      </w:r>
      <w:r>
        <w:rPr>
          <w:rFonts w:ascii="Times New Roman" w:hAnsi="Times New Roman" w:cs="Times New Roman"/>
          <w:sz w:val="24"/>
          <w:szCs w:val="24"/>
        </w:rPr>
        <w:t>v is ion (AACR2R) has been compiled and adopted by most li</w:t>
      </w:r>
      <w:r w:rsidRPr="00EF4A5C">
        <w:rPr>
          <w:rFonts w:ascii="Times New Roman" w:hAnsi="Times New Roman" w:cs="Times New Roman"/>
          <w:sz w:val="24"/>
          <w:szCs w:val="24"/>
        </w:rPr>
        <w:t>braries.</w:t>
      </w:r>
    </w:p>
    <w:p w:rsidR="00EF4A5C" w:rsidRP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AACR2R</w:t>
      </w:r>
      <w:proofErr w:type="gramStart"/>
      <w:r>
        <w:rPr>
          <w:rFonts w:ascii="Times New Roman" w:hAnsi="Times New Roman" w:cs="Times New Roman"/>
          <w:sz w:val="24"/>
          <w:szCs w:val="24"/>
        </w:rPr>
        <w:t>,“</w:t>
      </w:r>
      <w:proofErr w:type="gramEnd"/>
      <w:r>
        <w:rPr>
          <w:rFonts w:ascii="Times New Roman" w:hAnsi="Times New Roman" w:cs="Times New Roman"/>
          <w:sz w:val="24"/>
          <w:szCs w:val="24"/>
        </w:rPr>
        <w:t>General Rules for De</w:t>
      </w:r>
      <w:r w:rsidRPr="00EF4A5C">
        <w:rPr>
          <w:rFonts w:ascii="Times New Roman" w:hAnsi="Times New Roman" w:cs="Times New Roman"/>
          <w:sz w:val="24"/>
          <w:szCs w:val="24"/>
        </w:rPr>
        <w:t xml:space="preserve">scription,” the most bas </w:t>
      </w:r>
      <w:proofErr w:type="spellStart"/>
      <w:r w:rsidRPr="00EF4A5C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EF4A5C">
        <w:rPr>
          <w:rFonts w:ascii="Times New Roman" w:hAnsi="Times New Roman" w:cs="Times New Roman"/>
          <w:sz w:val="24"/>
          <w:szCs w:val="24"/>
        </w:rPr>
        <w:t xml:space="preserve"> rules a</w:t>
      </w:r>
      <w:r>
        <w:rPr>
          <w:rFonts w:ascii="Times New Roman" w:hAnsi="Times New Roman" w:cs="Times New Roman"/>
          <w:sz w:val="24"/>
          <w:szCs w:val="24"/>
        </w:rPr>
        <w:t>re listed. Some of the more com</w:t>
      </w:r>
      <w:r w:rsidRPr="00EF4A5C">
        <w:rPr>
          <w:rFonts w:ascii="Times New Roman" w:hAnsi="Times New Roman" w:cs="Times New Roman"/>
          <w:sz w:val="24"/>
          <w:szCs w:val="24"/>
        </w:rPr>
        <w:t>monly used ones are ou</w:t>
      </w:r>
      <w:r>
        <w:rPr>
          <w:rFonts w:ascii="Times New Roman" w:hAnsi="Times New Roman" w:cs="Times New Roman"/>
          <w:sz w:val="24"/>
          <w:szCs w:val="24"/>
        </w:rPr>
        <w:t>tlined here.</w:t>
      </w:r>
    </w:p>
    <w:p w:rsidR="00EF4A5C" w:rsidRP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 formation for cata</w:t>
      </w:r>
      <w:r w:rsidRPr="00EF4A5C">
        <w:rPr>
          <w:rFonts w:ascii="Times New Roman" w:hAnsi="Times New Roman" w:cs="Times New Roman"/>
          <w:sz w:val="24"/>
          <w:szCs w:val="24"/>
        </w:rPr>
        <w:t>loging is to be take</w:t>
      </w:r>
      <w:r>
        <w:rPr>
          <w:rFonts w:ascii="Times New Roman" w:hAnsi="Times New Roman" w:cs="Times New Roman"/>
          <w:sz w:val="24"/>
          <w:szCs w:val="24"/>
        </w:rPr>
        <w:t>n from the “chief source of inf</w:t>
      </w:r>
      <w:r w:rsidRPr="00EF4A5C">
        <w:rPr>
          <w:rFonts w:ascii="Times New Roman" w:hAnsi="Times New Roman" w:cs="Times New Roman"/>
          <w:sz w:val="24"/>
          <w:szCs w:val="24"/>
        </w:rPr>
        <w:t>ormat</w:t>
      </w:r>
      <w:r>
        <w:rPr>
          <w:rFonts w:ascii="Times New Roman" w:hAnsi="Times New Roman" w:cs="Times New Roman"/>
          <w:sz w:val="24"/>
          <w:szCs w:val="24"/>
        </w:rPr>
        <w:t>ion.” The chief sources for different types of materials are stated in the relevant chap</w:t>
      </w:r>
      <w:r w:rsidRPr="00EF4A5C">
        <w:rPr>
          <w:rFonts w:ascii="Times New Roman" w:hAnsi="Times New Roman" w:cs="Times New Roman"/>
          <w:sz w:val="24"/>
          <w:szCs w:val="24"/>
        </w:rPr>
        <w:t>ters of AACR</w:t>
      </w:r>
      <w:r>
        <w:rPr>
          <w:rFonts w:ascii="Times New Roman" w:hAnsi="Times New Roman" w:cs="Times New Roman"/>
          <w:sz w:val="24"/>
          <w:szCs w:val="24"/>
        </w:rPr>
        <w:t>2R. If the chief source is lack</w:t>
      </w:r>
      <w:r w:rsidRPr="00EF4A5C">
        <w:rPr>
          <w:rFonts w:ascii="Times New Roman" w:hAnsi="Times New Roman" w:cs="Times New Roman"/>
          <w:sz w:val="24"/>
          <w:szCs w:val="24"/>
        </w:rPr>
        <w:t>ing, data can be taken from any source. (Rules 1.0 A1, 1.0 A2)</w:t>
      </w:r>
    </w:p>
    <w:p w:rsid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description is divided into the following ar</w:t>
      </w:r>
      <w:r w:rsidRPr="00EF4A5C">
        <w:rPr>
          <w:rFonts w:ascii="Times New Roman" w:hAnsi="Times New Roman" w:cs="Times New Roman"/>
          <w:sz w:val="24"/>
          <w:szCs w:val="24"/>
        </w:rPr>
        <w:t xml:space="preserve">eas. Each </w:t>
      </w:r>
      <w:r>
        <w:rPr>
          <w:rFonts w:ascii="Times New Roman" w:hAnsi="Times New Roman" w:cs="Times New Roman"/>
          <w:sz w:val="24"/>
          <w:szCs w:val="24"/>
        </w:rPr>
        <w:t>area may have more than one ele</w:t>
      </w:r>
      <w:r w:rsidRPr="00EF4A5C">
        <w:rPr>
          <w:rFonts w:ascii="Times New Roman" w:hAnsi="Times New Roman" w:cs="Times New Roman"/>
          <w:sz w:val="24"/>
          <w:szCs w:val="24"/>
        </w:rPr>
        <w:t xml:space="preserve">ment. </w:t>
      </w:r>
    </w:p>
    <w:p w:rsid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Title and statement of responsibility </w:t>
      </w:r>
    </w:p>
    <w:p w:rsid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Edition </w:t>
      </w:r>
    </w:p>
    <w:p w:rsid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>Material specific details</w:t>
      </w:r>
    </w:p>
    <w:p w:rsid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 Publication, distribution, etc. </w:t>
      </w:r>
    </w:p>
    <w:p w:rsid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>Physical description</w:t>
      </w:r>
    </w:p>
    <w:p w:rsid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 Series</w:t>
      </w:r>
    </w:p>
    <w:p w:rsid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 Note</w:t>
      </w:r>
    </w:p>
    <w:p w:rsid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 Standard number and terms of availability </w:t>
      </w:r>
    </w:p>
    <w:p w:rsidR="00EF4A5C" w:rsidRP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>(Rule 1.0 B1)</w:t>
      </w:r>
    </w:p>
    <w:p w:rsidR="00EF4A5C" w:rsidRP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 ample, Edition is an area. Publication, distribution, etc. is another area, whereas Publication is an el</w:t>
      </w:r>
      <w:r w:rsidRPr="00EF4A5C">
        <w:rPr>
          <w:rFonts w:ascii="Times New Roman" w:hAnsi="Times New Roman" w:cs="Times New Roman"/>
          <w:sz w:val="24"/>
          <w:szCs w:val="24"/>
        </w:rPr>
        <w:t>ement.</w:t>
      </w:r>
    </w:p>
    <w:p w:rsidR="00EF4A5C" w:rsidRPr="00EF4A5C" w:rsidRDefault="00FD3E0D" w:rsidP="00EF4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These are the general guidelines for punc</w:t>
      </w:r>
      <w:r w:rsidR="00EF4A5C" w:rsidRPr="00EF4A5C">
        <w:rPr>
          <w:rFonts w:ascii="Times New Roman" w:hAnsi="Times New Roman" w:cs="Times New Roman"/>
          <w:sz w:val="24"/>
          <w:szCs w:val="24"/>
        </w:rPr>
        <w:t>tuation.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a. Precede each area by a full stop, space, dash, space (. </w:t>
      </w:r>
      <w:proofErr w:type="gramStart"/>
      <w:r w:rsidRPr="00EF4A5C">
        <w:rPr>
          <w:rFonts w:ascii="Times New Roman" w:hAnsi="Times New Roman" w:cs="Times New Roman"/>
          <w:sz w:val="24"/>
          <w:szCs w:val="24"/>
        </w:rPr>
        <w:t>– )</w:t>
      </w:r>
      <w:proofErr w:type="gramEnd"/>
      <w:r w:rsidRPr="00EF4A5C">
        <w:rPr>
          <w:rFonts w:ascii="Times New Roman" w:hAnsi="Times New Roman" w:cs="Times New Roman"/>
          <w:sz w:val="24"/>
          <w:szCs w:val="24"/>
        </w:rPr>
        <w:t xml:space="preserve">, unless the area begins a new paragraph. 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b. Use square brackets ([ ]) to indicate that data are taken from outside the prescribed sources. 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c. Use an ellipsis (. . .) to indicate the omission of part of the element. </w:t>
      </w:r>
    </w:p>
    <w:p w:rsidR="00EF4A5C" w:rsidRP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lastRenderedPageBreak/>
        <w:t xml:space="preserve">d. General material designation (GMD) is always enclosed in its own brackets ([ ]). (Rule 1.0 C) </w:t>
      </w:r>
    </w:p>
    <w:p w:rsidR="00EF4A5C" w:rsidRPr="00EF4A5C" w:rsidRDefault="00FD3E0D" w:rsidP="00EF4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To suit the needs of libraries large and small, levels of detail in the description are established. A li</w:t>
      </w:r>
      <w:r w:rsidR="00EF4A5C" w:rsidRPr="00EF4A5C">
        <w:rPr>
          <w:rFonts w:ascii="Times New Roman" w:hAnsi="Times New Roman" w:cs="Times New Roman"/>
          <w:sz w:val="24"/>
          <w:szCs w:val="24"/>
        </w:rPr>
        <w:t>brary should choose the leve</w:t>
      </w:r>
      <w:r>
        <w:rPr>
          <w:rFonts w:ascii="Times New Roman" w:hAnsi="Times New Roman" w:cs="Times New Roman"/>
          <w:sz w:val="24"/>
          <w:szCs w:val="24"/>
        </w:rPr>
        <w:t>l that is most app</w:t>
      </w:r>
      <w:r w:rsidR="00EF4A5C" w:rsidRPr="00EF4A5C">
        <w:rPr>
          <w:rFonts w:ascii="Times New Roman" w:hAnsi="Times New Roman" w:cs="Times New Roman"/>
          <w:sz w:val="24"/>
          <w:szCs w:val="24"/>
        </w:rPr>
        <w:t>ropriate to its size. Three levels</w:t>
      </w:r>
      <w:r>
        <w:rPr>
          <w:rFonts w:ascii="Times New Roman" w:hAnsi="Times New Roman" w:cs="Times New Roman"/>
          <w:sz w:val="24"/>
          <w:szCs w:val="24"/>
        </w:rPr>
        <w:t xml:space="preserve"> are pre scribed in Rule 1.0 D.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a. “First level” of description includes the following elements: • Title proper / first statement of responsibility, if different from main entry heading in form or number or if there is no main entry heading 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• Edition statement 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>• Material (or type of publication) specific details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 • First publisher, etc., date of publication, etc.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 • Extent of item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 • Note(s)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 • Standard number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 b. “Second level” of description contains more details: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 • Title proper [general material designation] = Parallel </w:t>
      </w:r>
      <w:proofErr w:type="gramStart"/>
      <w:r w:rsidR="00FD3E0D" w:rsidRPr="00EF4A5C">
        <w:rPr>
          <w:rFonts w:ascii="Times New Roman" w:hAnsi="Times New Roman" w:cs="Times New Roman"/>
          <w:sz w:val="24"/>
          <w:szCs w:val="24"/>
        </w:rPr>
        <w:t>title</w:t>
      </w:r>
      <w:r w:rsidR="00FD3E0D">
        <w:rPr>
          <w:rFonts w:ascii="Times New Roman" w:hAnsi="Times New Roman" w:cs="Times New Roman"/>
          <w:sz w:val="24"/>
          <w:szCs w:val="24"/>
        </w:rPr>
        <w:t xml:space="preserve"> </w:t>
      </w:r>
      <w:r w:rsidR="00FD3E0D" w:rsidRPr="00EF4A5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4A5C">
        <w:rPr>
          <w:rFonts w:ascii="Times New Roman" w:hAnsi="Times New Roman" w:cs="Times New Roman"/>
          <w:sz w:val="24"/>
          <w:szCs w:val="24"/>
        </w:rPr>
        <w:t xml:space="preserve"> other title information / first statement of responsibility ; each subsequent statement of responsibility 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• Edition statement / first statement of edition 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• Material (or type of publication) specific details 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>• First place of publication, etc</w:t>
      </w:r>
      <w:proofErr w:type="gramStart"/>
      <w:r w:rsidRPr="00EF4A5C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EF4A5C">
        <w:rPr>
          <w:rFonts w:ascii="Times New Roman" w:hAnsi="Times New Roman" w:cs="Times New Roman"/>
          <w:sz w:val="24"/>
          <w:szCs w:val="24"/>
        </w:rPr>
        <w:t xml:space="preserve"> first publisher, etc., date of publication, etc. 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• Extent of </w:t>
      </w:r>
      <w:proofErr w:type="gramStart"/>
      <w:r w:rsidRPr="00EF4A5C">
        <w:rPr>
          <w:rFonts w:ascii="Times New Roman" w:hAnsi="Times New Roman" w:cs="Times New Roman"/>
          <w:sz w:val="24"/>
          <w:szCs w:val="24"/>
        </w:rPr>
        <w:t>item :</w:t>
      </w:r>
      <w:proofErr w:type="gramEnd"/>
      <w:r w:rsidRPr="00EF4A5C">
        <w:rPr>
          <w:rFonts w:ascii="Times New Roman" w:hAnsi="Times New Roman" w:cs="Times New Roman"/>
          <w:sz w:val="24"/>
          <w:szCs w:val="24"/>
        </w:rPr>
        <w:t xml:space="preserve"> other physical details ; dimensions 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• Title proper of series / statement of responsibility relating to series, ISSN of </w:t>
      </w:r>
      <w:proofErr w:type="gramStart"/>
      <w:r w:rsidRPr="00EF4A5C">
        <w:rPr>
          <w:rFonts w:ascii="Times New Roman" w:hAnsi="Times New Roman" w:cs="Times New Roman"/>
          <w:sz w:val="24"/>
          <w:szCs w:val="24"/>
        </w:rPr>
        <w:t>series ;</w:t>
      </w:r>
      <w:proofErr w:type="gramEnd"/>
      <w:r w:rsidRPr="00EF4A5C">
        <w:rPr>
          <w:rFonts w:ascii="Times New Roman" w:hAnsi="Times New Roman" w:cs="Times New Roman"/>
          <w:sz w:val="24"/>
          <w:szCs w:val="24"/>
        </w:rPr>
        <w:t xml:space="preserve"> numbering within subseries </w:t>
      </w:r>
      <w:bookmarkStart w:id="0" w:name="_GoBack"/>
      <w:bookmarkEnd w:id="0"/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>• Note(s)</w:t>
      </w:r>
    </w:p>
    <w:p w:rsidR="00FD3E0D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 • Standard number</w:t>
      </w:r>
    </w:p>
    <w:p w:rsidR="00EF4A5C" w:rsidRDefault="00EF4A5C" w:rsidP="00EF4A5C">
      <w:pPr>
        <w:rPr>
          <w:rFonts w:ascii="Times New Roman" w:hAnsi="Times New Roman" w:cs="Times New Roman"/>
          <w:sz w:val="24"/>
          <w:szCs w:val="24"/>
        </w:rPr>
      </w:pPr>
      <w:r w:rsidRPr="00EF4A5C">
        <w:rPr>
          <w:rFonts w:ascii="Times New Roman" w:hAnsi="Times New Roman" w:cs="Times New Roman"/>
          <w:sz w:val="24"/>
          <w:szCs w:val="24"/>
        </w:rPr>
        <w:t xml:space="preserve"> c. “Third level” of description includes all elements of the second level plus other information that is important for the library user.</w:t>
      </w:r>
    </w:p>
    <w:p w:rsidR="00FD3E0D" w:rsidRPr="00EF4A5C" w:rsidRDefault="00FD3E0D" w:rsidP="00EF4A5C">
      <w:pPr>
        <w:rPr>
          <w:rFonts w:ascii="Times New Roman" w:hAnsi="Times New Roman" w:cs="Times New Roman"/>
          <w:sz w:val="24"/>
          <w:szCs w:val="24"/>
        </w:rPr>
      </w:pPr>
      <w:r w:rsidRPr="00FD3E0D">
        <w:rPr>
          <w:rFonts w:ascii="Times New Roman" w:hAnsi="Times New Roman" w:cs="Times New Roman"/>
          <w:sz w:val="24"/>
          <w:szCs w:val="24"/>
        </w:rPr>
        <w:t>Depend</w:t>
      </w:r>
      <w:r>
        <w:rPr>
          <w:rFonts w:ascii="Times New Roman" w:hAnsi="Times New Roman" w:cs="Times New Roman"/>
          <w:sz w:val="24"/>
          <w:szCs w:val="24"/>
        </w:rPr>
        <w:t>ing on the needs of each individual library, the appropriate level of de</w:t>
      </w:r>
      <w:r w:rsidRPr="00FD3E0D">
        <w:rPr>
          <w:rFonts w:ascii="Times New Roman" w:hAnsi="Times New Roman" w:cs="Times New Roman"/>
          <w:sz w:val="24"/>
          <w:szCs w:val="24"/>
        </w:rPr>
        <w:t>scription</w:t>
      </w:r>
      <w:r>
        <w:rPr>
          <w:rFonts w:ascii="Times New Roman" w:hAnsi="Times New Roman" w:cs="Times New Roman"/>
          <w:sz w:val="24"/>
          <w:szCs w:val="24"/>
        </w:rPr>
        <w:t xml:space="preserve"> is cho</w:t>
      </w:r>
      <w:r w:rsidRPr="00FD3E0D">
        <w:rPr>
          <w:rFonts w:ascii="Times New Roman" w:hAnsi="Times New Roman" w:cs="Times New Roman"/>
          <w:sz w:val="24"/>
          <w:szCs w:val="24"/>
        </w:rPr>
        <w:t>sen. Usually small librarie</w:t>
      </w:r>
      <w:r>
        <w:rPr>
          <w:rFonts w:ascii="Times New Roman" w:hAnsi="Times New Roman" w:cs="Times New Roman"/>
          <w:sz w:val="24"/>
          <w:szCs w:val="24"/>
        </w:rPr>
        <w:t xml:space="preserve">s choose the first level of description, while medium libraries choose the </w:t>
      </w:r>
      <w:r>
        <w:rPr>
          <w:rFonts w:ascii="Times New Roman" w:hAnsi="Times New Roman" w:cs="Times New Roman"/>
          <w:sz w:val="24"/>
          <w:szCs w:val="24"/>
        </w:rPr>
        <w:lastRenderedPageBreak/>
        <w:t>second level. Only very large research li</w:t>
      </w:r>
      <w:r w:rsidRPr="00FD3E0D">
        <w:rPr>
          <w:rFonts w:ascii="Times New Roman" w:hAnsi="Times New Roman" w:cs="Times New Roman"/>
          <w:sz w:val="24"/>
          <w:szCs w:val="24"/>
        </w:rPr>
        <w:t>braries or spec</w:t>
      </w:r>
      <w:r>
        <w:rPr>
          <w:rFonts w:ascii="Times New Roman" w:hAnsi="Times New Roman" w:cs="Times New Roman"/>
          <w:sz w:val="24"/>
          <w:szCs w:val="24"/>
        </w:rPr>
        <w:t>ial libraries practice the third level of description. Small libraries are req</w:t>
      </w:r>
      <w:r w:rsidRPr="00FD3E0D">
        <w:rPr>
          <w:rFonts w:ascii="Times New Roman" w:hAnsi="Times New Roman" w:cs="Times New Roman"/>
          <w:sz w:val="24"/>
          <w:szCs w:val="24"/>
        </w:rPr>
        <w:t>uire</w:t>
      </w:r>
      <w:r>
        <w:rPr>
          <w:rFonts w:ascii="Times New Roman" w:hAnsi="Times New Roman" w:cs="Times New Roman"/>
          <w:sz w:val="24"/>
          <w:szCs w:val="24"/>
        </w:rPr>
        <w:t>d to do the second level of description if they belong to a consortium and have a shared database with other li</w:t>
      </w:r>
      <w:r w:rsidRPr="00FD3E0D">
        <w:rPr>
          <w:rFonts w:ascii="Times New Roman" w:hAnsi="Times New Roman" w:cs="Times New Roman"/>
          <w:sz w:val="24"/>
          <w:szCs w:val="24"/>
        </w:rPr>
        <w:t>braries.</w:t>
      </w:r>
    </w:p>
    <w:sectPr w:rsidR="00FD3E0D" w:rsidRPr="00EF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5C"/>
    <w:rsid w:val="002C07A0"/>
    <w:rsid w:val="008408BD"/>
    <w:rsid w:val="008B1AC7"/>
    <w:rsid w:val="00D32E68"/>
    <w:rsid w:val="00EF4A5C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 shah</dc:creator>
  <cp:lastModifiedBy>zuni shah</cp:lastModifiedBy>
  <cp:revision>2</cp:revision>
  <dcterms:created xsi:type="dcterms:W3CDTF">2020-06-05T18:45:00Z</dcterms:created>
  <dcterms:modified xsi:type="dcterms:W3CDTF">2020-06-05T19:06:00Z</dcterms:modified>
</cp:coreProperties>
</file>