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27" w:rsidRPr="00DE05B7" w:rsidRDefault="00DE05B7" w:rsidP="00DE05B7">
      <w:pPr>
        <w:ind w:left="360"/>
        <w:jc w:val="both"/>
        <w:rPr>
          <w:rFonts w:asciiTheme="majorBidi" w:hAnsiTheme="majorBidi" w:cstheme="majorBidi"/>
          <w:b/>
          <w:sz w:val="24"/>
          <w:szCs w:val="24"/>
        </w:rPr>
      </w:pPr>
      <w:r w:rsidRPr="00DE05B7">
        <w:rPr>
          <w:rFonts w:asciiTheme="majorBidi" w:hAnsiTheme="majorBidi" w:cstheme="majorBidi"/>
          <w:b/>
          <w:sz w:val="24"/>
          <w:szCs w:val="24"/>
        </w:rPr>
        <w:t>BCH-210</w:t>
      </w:r>
      <w:r w:rsidRPr="00DE05B7">
        <w:rPr>
          <w:rFonts w:asciiTheme="majorBidi" w:hAnsiTheme="majorBidi" w:cstheme="majorBidi"/>
          <w:b/>
          <w:sz w:val="24"/>
          <w:szCs w:val="24"/>
        </w:rPr>
        <w:tab/>
      </w:r>
      <w:r w:rsidRPr="00DE05B7">
        <w:rPr>
          <w:rFonts w:asciiTheme="majorBidi" w:hAnsiTheme="majorBidi" w:cstheme="majorBidi"/>
          <w:b/>
          <w:sz w:val="24"/>
          <w:szCs w:val="24"/>
        </w:rPr>
        <w:tab/>
      </w:r>
      <w:r w:rsidRPr="00DE05B7">
        <w:rPr>
          <w:rFonts w:asciiTheme="majorBidi" w:hAnsiTheme="majorBidi" w:cstheme="majorBidi"/>
          <w:b/>
          <w:sz w:val="24"/>
          <w:szCs w:val="24"/>
        </w:rPr>
        <w:tab/>
        <w:t xml:space="preserve">Advanced </w:t>
      </w:r>
      <w:bookmarkStart w:id="0" w:name="_GoBack"/>
      <w:bookmarkEnd w:id="0"/>
      <w:r w:rsidRPr="00DE05B7">
        <w:rPr>
          <w:rFonts w:asciiTheme="majorBidi" w:hAnsiTheme="majorBidi" w:cstheme="majorBidi"/>
          <w:b/>
          <w:sz w:val="24"/>
          <w:szCs w:val="24"/>
        </w:rPr>
        <w:t>Accounting II</w:t>
      </w:r>
      <w:r w:rsidR="00AD2E90" w:rsidRPr="00DE05B7">
        <w:rPr>
          <w:rFonts w:asciiTheme="majorBidi" w:hAnsiTheme="majorBidi" w:cstheme="majorBidi"/>
          <w:b/>
          <w:sz w:val="24"/>
          <w:szCs w:val="24"/>
        </w:rPr>
        <w:tab/>
      </w:r>
      <w:r w:rsidR="00AD2E90" w:rsidRPr="00DE05B7">
        <w:rPr>
          <w:rFonts w:asciiTheme="majorBidi" w:hAnsiTheme="majorBidi" w:cstheme="majorBidi"/>
          <w:b/>
          <w:sz w:val="24"/>
          <w:szCs w:val="24"/>
        </w:rPr>
        <w:tab/>
        <w:t xml:space="preserve">       </w:t>
      </w:r>
      <w:r w:rsidR="00A76C65" w:rsidRPr="00DE05B7">
        <w:rPr>
          <w:rFonts w:asciiTheme="majorBidi" w:hAnsiTheme="majorBidi" w:cstheme="majorBidi"/>
          <w:b/>
          <w:sz w:val="24"/>
          <w:szCs w:val="24"/>
        </w:rPr>
        <w:tab/>
      </w:r>
      <w:r w:rsidR="00A76C65" w:rsidRPr="00DE05B7">
        <w:rPr>
          <w:rFonts w:asciiTheme="majorBidi" w:hAnsiTheme="majorBidi" w:cstheme="majorBidi"/>
          <w:b/>
          <w:sz w:val="24"/>
          <w:szCs w:val="24"/>
        </w:rPr>
        <w:tab/>
      </w:r>
      <w:r w:rsidR="00AD2E90" w:rsidRPr="00DE05B7">
        <w:rPr>
          <w:rFonts w:asciiTheme="majorBidi" w:hAnsiTheme="majorBidi" w:cstheme="majorBidi"/>
          <w:b/>
          <w:sz w:val="24"/>
          <w:szCs w:val="24"/>
        </w:rPr>
        <w:t xml:space="preserve"> 3 (3+0)</w:t>
      </w:r>
    </w:p>
    <w:p w:rsidR="00DE05B7" w:rsidRPr="00DE05B7" w:rsidRDefault="00DE05B7" w:rsidP="00DE05B7">
      <w:pPr>
        <w:spacing w:after="0"/>
        <w:jc w:val="both"/>
        <w:rPr>
          <w:rFonts w:asciiTheme="majorBidi" w:hAnsiTheme="majorBidi" w:cstheme="majorBidi"/>
        </w:rPr>
      </w:pPr>
      <w:r w:rsidRPr="00DE05B7">
        <w:rPr>
          <w:rFonts w:asciiTheme="majorBidi" w:hAnsiTheme="majorBidi" w:cstheme="majorBidi"/>
        </w:rPr>
        <w:t>This course will have different relationships with the requirements of the various professional accountancy bodies like ICAP, ICMAP, PIPFA and other universities in Pakistan. The course requires students to study how the design, operation and validation of accounting systems affect and is affected by, individual’s organizations, markets and society.</w:t>
      </w:r>
      <w:r>
        <w:rPr>
          <w:rFonts w:asciiTheme="majorBidi" w:hAnsiTheme="majorBidi" w:cstheme="majorBidi"/>
        </w:rPr>
        <w:t xml:space="preserve"> </w:t>
      </w:r>
      <w:r w:rsidRPr="00DE05B7">
        <w:rPr>
          <w:rFonts w:asciiTheme="majorBidi" w:hAnsiTheme="majorBidi" w:cstheme="majorBidi"/>
        </w:rPr>
        <w:t>The learni</w:t>
      </w:r>
      <w:r>
        <w:rPr>
          <w:rFonts w:asciiTheme="majorBidi" w:hAnsiTheme="majorBidi" w:cstheme="majorBidi"/>
        </w:rPr>
        <w:t>ng outcomes of the course are:-</w:t>
      </w:r>
    </w:p>
    <w:p w:rsidR="00DE05B7" w:rsidRPr="00DE05B7" w:rsidRDefault="00DE05B7" w:rsidP="00DE05B7">
      <w:pPr>
        <w:pStyle w:val="ListParagraph"/>
        <w:numPr>
          <w:ilvl w:val="0"/>
          <w:numId w:val="11"/>
        </w:numPr>
        <w:jc w:val="both"/>
        <w:rPr>
          <w:rFonts w:asciiTheme="majorBidi" w:hAnsiTheme="majorBidi" w:cstheme="majorBidi"/>
        </w:rPr>
      </w:pPr>
      <w:r w:rsidRPr="00DE05B7">
        <w:rPr>
          <w:rFonts w:asciiTheme="majorBidi" w:hAnsiTheme="majorBidi" w:cstheme="majorBidi"/>
        </w:rPr>
        <w:t>To provide information that is useful in investment and credit decisions.</w:t>
      </w:r>
    </w:p>
    <w:p w:rsidR="00DE05B7" w:rsidRPr="00DE05B7" w:rsidRDefault="00DE05B7" w:rsidP="00DE05B7">
      <w:pPr>
        <w:pStyle w:val="ListParagraph"/>
        <w:numPr>
          <w:ilvl w:val="0"/>
          <w:numId w:val="11"/>
        </w:numPr>
        <w:jc w:val="both"/>
        <w:rPr>
          <w:rFonts w:asciiTheme="majorBidi" w:hAnsiTheme="majorBidi" w:cstheme="majorBidi"/>
        </w:rPr>
      </w:pPr>
      <w:r w:rsidRPr="00DE05B7">
        <w:rPr>
          <w:rFonts w:asciiTheme="majorBidi" w:hAnsiTheme="majorBidi" w:cstheme="majorBidi"/>
        </w:rPr>
        <w:t>To provide information that is useful in assessing cash flow prospects.</w:t>
      </w:r>
    </w:p>
    <w:p w:rsidR="00592D27" w:rsidRPr="00DE05B7" w:rsidRDefault="00DE05B7" w:rsidP="00DE05B7">
      <w:pPr>
        <w:pStyle w:val="ListParagraph"/>
        <w:numPr>
          <w:ilvl w:val="0"/>
          <w:numId w:val="11"/>
        </w:numPr>
        <w:jc w:val="both"/>
        <w:rPr>
          <w:rFonts w:asciiTheme="majorBidi" w:hAnsiTheme="majorBidi" w:cstheme="majorBidi"/>
        </w:rPr>
      </w:pPr>
      <w:r w:rsidRPr="00DE05B7">
        <w:rPr>
          <w:rFonts w:asciiTheme="majorBidi" w:hAnsiTheme="majorBidi" w:cstheme="majorBidi"/>
        </w:rPr>
        <w:t>To provide information about enterprise resources claims to those resources and changes in them.</w:t>
      </w:r>
    </w:p>
    <w:p w:rsidR="00A76C65" w:rsidRPr="00DE05B7" w:rsidRDefault="00A76C65" w:rsidP="00A76C65">
      <w:pPr>
        <w:spacing w:after="0"/>
        <w:jc w:val="both"/>
        <w:rPr>
          <w:rFonts w:asciiTheme="majorBidi" w:hAnsiTheme="majorBidi" w:cstheme="majorBidi"/>
        </w:rPr>
      </w:pPr>
    </w:p>
    <w:p w:rsidR="00592D27" w:rsidRPr="00201C36" w:rsidRDefault="00592D27" w:rsidP="00592D27">
      <w:pPr>
        <w:spacing w:after="0"/>
        <w:jc w:val="both"/>
        <w:rPr>
          <w:rFonts w:asciiTheme="majorBidi" w:hAnsiTheme="majorBidi" w:cstheme="majorBidi"/>
          <w:i/>
        </w:rPr>
      </w:pPr>
      <w:r w:rsidRPr="00201C36">
        <w:rPr>
          <w:rFonts w:asciiTheme="majorBidi" w:hAnsiTheme="majorBidi" w:cstheme="majorBidi"/>
          <w:i/>
        </w:rPr>
        <w:t>Contents</w:t>
      </w:r>
    </w:p>
    <w:p w:rsidR="00592D27" w:rsidRPr="00201C36" w:rsidRDefault="00592D27" w:rsidP="00592D27">
      <w:pPr>
        <w:spacing w:after="0"/>
        <w:jc w:val="both"/>
        <w:rPr>
          <w:rFonts w:asciiTheme="majorBidi" w:hAnsiTheme="majorBidi" w:cstheme="majorBidi"/>
          <w:i/>
        </w:rPr>
      </w:pP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International financial reporting standards (IFRS 1 First-Time Adoption on International Financial Reporting Standard)</w:t>
      </w: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IFRS-5 Non-Current Assets held for sale and discontinued operation</w:t>
      </w: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Revenue recognition (IAS-18)</w:t>
      </w: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Balance sheet issues</w:t>
      </w: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 xml:space="preserve">Additional valuation issues of Inventory IAS-2 Lower of cost or market  </w:t>
      </w: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 xml:space="preserve">IAS-16, Property Plant and Equipment </w:t>
      </w: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IAS_38, Intangible Assets</w:t>
      </w: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Long term liabilities</w:t>
      </w:r>
    </w:p>
    <w:p w:rsidR="00DE05B7" w:rsidRPr="00DE05B7" w:rsidRDefault="00DE05B7" w:rsidP="00DE05B7">
      <w:pPr>
        <w:pStyle w:val="Default"/>
        <w:numPr>
          <w:ilvl w:val="0"/>
          <w:numId w:val="1"/>
        </w:numPr>
        <w:jc w:val="both"/>
        <w:rPr>
          <w:rFonts w:asciiTheme="majorBidi" w:hAnsiTheme="majorBidi" w:cstheme="majorBidi"/>
          <w:color w:val="auto"/>
          <w:sz w:val="22"/>
          <w:szCs w:val="22"/>
        </w:rPr>
      </w:pPr>
      <w:r w:rsidRPr="00DE05B7">
        <w:rPr>
          <w:rFonts w:asciiTheme="majorBidi" w:hAnsiTheme="majorBidi" w:cstheme="majorBidi"/>
          <w:color w:val="auto"/>
          <w:sz w:val="22"/>
          <w:szCs w:val="22"/>
        </w:rPr>
        <w:t>Stockholders ‘Equity</w:t>
      </w:r>
    </w:p>
    <w:p w:rsidR="000F7564" w:rsidRP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Error Analysis, income statement error, balance sheet error, preparation of financial statement with error correction, Changes from or to the equity method</w:t>
      </w:r>
    </w:p>
    <w:p w:rsidR="00D2751D"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 xml:space="preserve">Hire purchase and </w:t>
      </w:r>
      <w:r w:rsidRPr="000F7564">
        <w:rPr>
          <w:rFonts w:asciiTheme="majorBidi" w:hAnsiTheme="majorBidi" w:cstheme="majorBidi"/>
          <w:color w:val="auto"/>
          <w:sz w:val="22"/>
          <w:szCs w:val="22"/>
        </w:rPr>
        <w:t>installment</w:t>
      </w:r>
      <w:r w:rsidRPr="000F7564">
        <w:rPr>
          <w:rFonts w:asciiTheme="majorBidi" w:hAnsiTheme="majorBidi" w:cstheme="majorBidi"/>
          <w:color w:val="auto"/>
          <w:sz w:val="22"/>
          <w:szCs w:val="22"/>
        </w:rPr>
        <w:t xml:space="preserve"> system, Hire purchase system, Cash sale system, Credit sale system, Installment retailing system, Analysis of </w:t>
      </w:r>
      <w:r w:rsidRPr="000F7564">
        <w:rPr>
          <w:rFonts w:asciiTheme="majorBidi" w:hAnsiTheme="majorBidi" w:cstheme="majorBidi"/>
          <w:color w:val="auto"/>
          <w:sz w:val="22"/>
          <w:szCs w:val="22"/>
        </w:rPr>
        <w:t>installments</w:t>
      </w:r>
    </w:p>
    <w:p w:rsid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 xml:space="preserve">Shares and share capital, Classes and kinds </w:t>
      </w:r>
      <w:proofErr w:type="spellStart"/>
      <w:r w:rsidRPr="000F7564">
        <w:rPr>
          <w:rFonts w:asciiTheme="majorBidi" w:hAnsiTheme="majorBidi" w:cstheme="majorBidi"/>
          <w:color w:val="auto"/>
          <w:sz w:val="22"/>
          <w:szCs w:val="22"/>
        </w:rPr>
        <w:t>od</w:t>
      </w:r>
      <w:proofErr w:type="spellEnd"/>
      <w:r w:rsidRPr="000F7564">
        <w:rPr>
          <w:rFonts w:asciiTheme="majorBidi" w:hAnsiTheme="majorBidi" w:cstheme="majorBidi"/>
          <w:color w:val="auto"/>
          <w:sz w:val="22"/>
          <w:szCs w:val="22"/>
        </w:rPr>
        <w:t xml:space="preserve"> share, authorized capital, issued capital, subscribed capital, called up capital, paid up capital, issues of shares, for cash, for consideration other than cash, terms of issue, accounting entries for cash, shares issued at Par, at Premium and discount, all related entries.</w:t>
      </w:r>
    </w:p>
    <w:p w:rsid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Debentures, Purpose of issuing of debentures, classifications of debentures, security point of view, redemption point of view, record point of view, convertibility point of view, redemption of debentures, purchase debentures in the open market.</w:t>
      </w:r>
    </w:p>
    <w:p w:rsid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 xml:space="preserve">Consignment accounts, important terms, commission, del </w:t>
      </w:r>
      <w:proofErr w:type="spellStart"/>
      <w:r w:rsidRPr="000F7564">
        <w:rPr>
          <w:rFonts w:asciiTheme="majorBidi" w:hAnsiTheme="majorBidi" w:cstheme="majorBidi"/>
          <w:color w:val="auto"/>
          <w:sz w:val="22"/>
          <w:szCs w:val="22"/>
        </w:rPr>
        <w:t>credere</w:t>
      </w:r>
      <w:proofErr w:type="spellEnd"/>
      <w:r w:rsidRPr="000F7564">
        <w:rPr>
          <w:rFonts w:asciiTheme="majorBidi" w:hAnsiTheme="majorBidi" w:cstheme="majorBidi"/>
          <w:color w:val="auto"/>
          <w:sz w:val="22"/>
          <w:szCs w:val="22"/>
        </w:rPr>
        <w:t xml:space="preserve">  commission, advance against consignment, consignment account, Pro-forma invoice, account sales</w:t>
      </w:r>
    </w:p>
    <w:p w:rsidR="000F7564" w:rsidRP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Accounting for income tax</w:t>
      </w:r>
    </w:p>
    <w:p w:rsidR="000F7564" w:rsidRP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Accounting changes and error analysis</w:t>
      </w:r>
    </w:p>
    <w:p w:rsidR="000F7564" w:rsidRP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Error Analysis</w:t>
      </w:r>
    </w:p>
    <w:p w:rsidR="000F7564" w:rsidRP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8 Accounting Policies, changes in accounting estimates and errors</w:t>
      </w:r>
    </w:p>
    <w:p w:rsidR="000F7564" w:rsidRPr="000F7564" w:rsidRDefault="000F7564" w:rsidP="000F7564">
      <w:pPr>
        <w:pStyle w:val="Default"/>
        <w:numPr>
          <w:ilvl w:val="0"/>
          <w:numId w:val="1"/>
        </w:numPr>
        <w:jc w:val="both"/>
        <w:rPr>
          <w:rFonts w:asciiTheme="majorBidi" w:hAnsiTheme="majorBidi" w:cstheme="majorBidi"/>
          <w:color w:val="auto"/>
          <w:sz w:val="22"/>
          <w:szCs w:val="22"/>
        </w:rPr>
      </w:pPr>
      <w:r w:rsidRPr="000F7564">
        <w:rPr>
          <w:rFonts w:asciiTheme="majorBidi" w:hAnsiTheme="majorBidi" w:cstheme="majorBidi"/>
          <w:color w:val="auto"/>
          <w:sz w:val="22"/>
          <w:szCs w:val="22"/>
        </w:rPr>
        <w:t xml:space="preserve">Full Discloser in financial reporting </w:t>
      </w:r>
    </w:p>
    <w:p w:rsidR="000F7564" w:rsidRDefault="000F7564" w:rsidP="000F7564">
      <w:pPr>
        <w:pStyle w:val="Default"/>
        <w:ind w:left="360"/>
        <w:jc w:val="both"/>
        <w:rPr>
          <w:rFonts w:asciiTheme="majorBidi" w:hAnsiTheme="majorBidi" w:cstheme="majorBidi"/>
          <w:color w:val="auto"/>
          <w:sz w:val="22"/>
          <w:szCs w:val="22"/>
        </w:rPr>
      </w:pPr>
    </w:p>
    <w:p w:rsidR="00592D27" w:rsidRPr="00201C36" w:rsidRDefault="00592D27" w:rsidP="00592D27">
      <w:pPr>
        <w:pStyle w:val="Default"/>
        <w:spacing w:line="276" w:lineRule="auto"/>
        <w:jc w:val="both"/>
        <w:rPr>
          <w:rFonts w:asciiTheme="majorBidi" w:hAnsiTheme="majorBidi" w:cstheme="majorBidi"/>
          <w:i/>
          <w:color w:val="auto"/>
          <w:sz w:val="22"/>
          <w:szCs w:val="22"/>
        </w:rPr>
      </w:pPr>
      <w:r w:rsidRPr="00201C36">
        <w:rPr>
          <w:rFonts w:asciiTheme="majorBidi" w:hAnsiTheme="majorBidi" w:cstheme="majorBidi"/>
          <w:i/>
          <w:color w:val="auto"/>
          <w:sz w:val="22"/>
          <w:szCs w:val="22"/>
        </w:rPr>
        <w:t xml:space="preserve">Recommended Books </w:t>
      </w:r>
    </w:p>
    <w:p w:rsidR="000F7564" w:rsidRPr="000F7564" w:rsidRDefault="000F7564" w:rsidP="000F7564">
      <w:pPr>
        <w:pStyle w:val="ListParagraph"/>
        <w:numPr>
          <w:ilvl w:val="0"/>
          <w:numId w:val="9"/>
        </w:numPr>
        <w:contextualSpacing/>
        <w:jc w:val="both"/>
        <w:rPr>
          <w:rFonts w:asciiTheme="majorBidi" w:hAnsiTheme="majorBidi" w:cstheme="majorBidi"/>
          <w:i/>
        </w:rPr>
      </w:pPr>
      <w:proofErr w:type="spellStart"/>
      <w:r w:rsidRPr="000F7564">
        <w:rPr>
          <w:rFonts w:asciiTheme="majorBidi" w:hAnsiTheme="majorBidi" w:cstheme="majorBidi"/>
          <w:i/>
        </w:rPr>
        <w:t>Kieso</w:t>
      </w:r>
      <w:proofErr w:type="spellEnd"/>
      <w:r w:rsidRPr="000F7564">
        <w:rPr>
          <w:rFonts w:asciiTheme="majorBidi" w:hAnsiTheme="majorBidi" w:cstheme="majorBidi"/>
          <w:i/>
        </w:rPr>
        <w:t xml:space="preserve">, D. E., </w:t>
      </w:r>
      <w:proofErr w:type="spellStart"/>
      <w:r w:rsidRPr="000F7564">
        <w:rPr>
          <w:rFonts w:asciiTheme="majorBidi" w:hAnsiTheme="majorBidi" w:cstheme="majorBidi"/>
          <w:i/>
        </w:rPr>
        <w:t>Weygandt</w:t>
      </w:r>
      <w:proofErr w:type="spellEnd"/>
      <w:r w:rsidRPr="000F7564">
        <w:rPr>
          <w:rFonts w:asciiTheme="majorBidi" w:hAnsiTheme="majorBidi" w:cstheme="majorBidi"/>
          <w:i/>
        </w:rPr>
        <w:t>, J. J.</w:t>
      </w:r>
      <w:proofErr w:type="gramStart"/>
      <w:r w:rsidRPr="000F7564">
        <w:rPr>
          <w:rFonts w:asciiTheme="majorBidi" w:hAnsiTheme="majorBidi" w:cstheme="majorBidi"/>
          <w:i/>
        </w:rPr>
        <w:t>,  &amp;</w:t>
      </w:r>
      <w:proofErr w:type="gramEnd"/>
      <w:r w:rsidRPr="000F7564">
        <w:rPr>
          <w:rFonts w:asciiTheme="majorBidi" w:hAnsiTheme="majorBidi" w:cstheme="majorBidi"/>
          <w:i/>
        </w:rPr>
        <w:t xml:space="preserve"> Warfield, T. D. (2019). Intermediate </w:t>
      </w:r>
      <w:proofErr w:type="gramStart"/>
      <w:r w:rsidRPr="000F7564">
        <w:rPr>
          <w:rFonts w:asciiTheme="majorBidi" w:hAnsiTheme="majorBidi" w:cstheme="majorBidi"/>
          <w:i/>
        </w:rPr>
        <w:t>Accounting</w:t>
      </w:r>
      <w:proofErr w:type="gramEnd"/>
      <w:r w:rsidRPr="000F7564">
        <w:rPr>
          <w:rFonts w:asciiTheme="majorBidi" w:hAnsiTheme="majorBidi" w:cstheme="majorBidi"/>
          <w:i/>
        </w:rPr>
        <w:t xml:space="preserve"> (17th Edition): Wiley higher education</w:t>
      </w:r>
    </w:p>
    <w:p w:rsidR="000F7564" w:rsidRPr="000F7564" w:rsidRDefault="000F7564" w:rsidP="000F7564">
      <w:pPr>
        <w:pStyle w:val="ListParagraph"/>
        <w:numPr>
          <w:ilvl w:val="0"/>
          <w:numId w:val="9"/>
        </w:numPr>
        <w:contextualSpacing/>
        <w:jc w:val="both"/>
        <w:rPr>
          <w:rFonts w:asciiTheme="majorBidi" w:hAnsiTheme="majorBidi" w:cstheme="majorBidi"/>
          <w:i/>
        </w:rPr>
      </w:pPr>
      <w:r w:rsidRPr="000F7564">
        <w:rPr>
          <w:rFonts w:asciiTheme="majorBidi" w:hAnsiTheme="majorBidi" w:cstheme="majorBidi"/>
          <w:i/>
        </w:rPr>
        <w:t>IFRS, IASs by International Accounting Standards Board, London.</w:t>
      </w:r>
    </w:p>
    <w:p w:rsidR="006868F2" w:rsidRPr="000F7564" w:rsidRDefault="006868F2" w:rsidP="000F7564">
      <w:pPr>
        <w:ind w:left="360"/>
        <w:contextualSpacing/>
        <w:jc w:val="both"/>
        <w:rPr>
          <w:rFonts w:asciiTheme="majorBidi" w:hAnsiTheme="majorBidi" w:cstheme="majorBidi"/>
          <w:i/>
        </w:rPr>
      </w:pPr>
      <w:r w:rsidRPr="000F7564">
        <w:rPr>
          <w:rFonts w:asciiTheme="majorBidi" w:hAnsiTheme="majorBidi" w:cstheme="majorBidi"/>
          <w:i/>
        </w:rPr>
        <w:tab/>
      </w:r>
    </w:p>
    <w:p w:rsidR="00437826" w:rsidRPr="006868F2" w:rsidRDefault="00592D27" w:rsidP="006868F2">
      <w:pPr>
        <w:shd w:val="clear" w:color="auto" w:fill="FFFFFF"/>
        <w:spacing w:line="255" w:lineRule="atLeast"/>
        <w:rPr>
          <w:rFonts w:asciiTheme="majorBidi" w:eastAsia="Times New Roman" w:hAnsiTheme="majorBidi" w:cstheme="majorBidi"/>
          <w:color w:val="000000"/>
          <w:spacing w:val="5"/>
        </w:rPr>
      </w:pPr>
      <w:r w:rsidRPr="00201C36">
        <w:rPr>
          <w:rFonts w:asciiTheme="majorBidi" w:hAnsiTheme="majorBidi" w:cstheme="majorBidi"/>
          <w:i/>
        </w:rPr>
        <w:t>Suggested Books</w:t>
      </w:r>
    </w:p>
    <w:p w:rsidR="000F7564" w:rsidRPr="000F7564" w:rsidRDefault="000F7564" w:rsidP="000F7564">
      <w:pPr>
        <w:pStyle w:val="Default"/>
        <w:numPr>
          <w:ilvl w:val="0"/>
          <w:numId w:val="8"/>
        </w:numPr>
        <w:tabs>
          <w:tab w:val="left" w:pos="1440"/>
        </w:tabs>
        <w:jc w:val="both"/>
        <w:rPr>
          <w:rFonts w:asciiTheme="majorBidi" w:hAnsiTheme="majorBidi" w:cstheme="majorBidi"/>
          <w:i/>
        </w:rPr>
      </w:pPr>
      <w:r w:rsidRPr="000F7564">
        <w:rPr>
          <w:rFonts w:asciiTheme="majorBidi" w:hAnsiTheme="majorBidi" w:cstheme="majorBidi"/>
          <w:i/>
        </w:rPr>
        <w:t xml:space="preserve">Advanced Accounting M.A. </w:t>
      </w:r>
      <w:proofErr w:type="spellStart"/>
      <w:r w:rsidRPr="000F7564">
        <w:rPr>
          <w:rFonts w:asciiTheme="majorBidi" w:hAnsiTheme="majorBidi" w:cstheme="majorBidi"/>
          <w:i/>
        </w:rPr>
        <w:t>Ghani</w:t>
      </w:r>
      <w:proofErr w:type="spellEnd"/>
    </w:p>
    <w:p w:rsidR="00592D27" w:rsidRPr="000F7564" w:rsidRDefault="000F7564" w:rsidP="000F7564">
      <w:pPr>
        <w:pStyle w:val="Default"/>
        <w:numPr>
          <w:ilvl w:val="0"/>
          <w:numId w:val="8"/>
        </w:numPr>
        <w:tabs>
          <w:tab w:val="left" w:pos="1440"/>
        </w:tabs>
        <w:jc w:val="both"/>
        <w:rPr>
          <w:rFonts w:asciiTheme="majorBidi" w:hAnsiTheme="majorBidi" w:cstheme="majorBidi"/>
          <w:i/>
        </w:rPr>
      </w:pPr>
      <w:r w:rsidRPr="000F7564">
        <w:rPr>
          <w:rFonts w:asciiTheme="majorBidi" w:hAnsiTheme="majorBidi" w:cstheme="majorBidi"/>
          <w:i/>
        </w:rPr>
        <w:t xml:space="preserve">Advanced Accounting </w:t>
      </w:r>
      <w:proofErr w:type="spellStart"/>
      <w:r w:rsidRPr="000F7564">
        <w:rPr>
          <w:rFonts w:asciiTheme="majorBidi" w:hAnsiTheme="majorBidi" w:cstheme="majorBidi"/>
          <w:i/>
        </w:rPr>
        <w:t>Sohail</w:t>
      </w:r>
      <w:proofErr w:type="spellEnd"/>
      <w:r w:rsidRPr="000F7564">
        <w:rPr>
          <w:rFonts w:asciiTheme="majorBidi" w:hAnsiTheme="majorBidi" w:cstheme="majorBidi"/>
          <w:i/>
        </w:rPr>
        <w:t xml:space="preserve"> </w:t>
      </w:r>
      <w:proofErr w:type="spellStart"/>
      <w:r w:rsidRPr="000F7564">
        <w:rPr>
          <w:rFonts w:asciiTheme="majorBidi" w:hAnsiTheme="majorBidi" w:cstheme="majorBidi"/>
          <w:i/>
        </w:rPr>
        <w:t>Afzal</w:t>
      </w:r>
      <w:proofErr w:type="spellEnd"/>
    </w:p>
    <w:sectPr w:rsidR="00592D27" w:rsidRPr="000F7564" w:rsidSect="00592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FF" w:rsidRDefault="00257AFF" w:rsidP="006868F2">
      <w:pPr>
        <w:spacing w:after="0" w:line="240" w:lineRule="auto"/>
      </w:pPr>
      <w:r>
        <w:separator/>
      </w:r>
    </w:p>
  </w:endnote>
  <w:endnote w:type="continuationSeparator" w:id="0">
    <w:p w:rsidR="00257AFF" w:rsidRDefault="00257AFF" w:rsidP="0068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FF" w:rsidRDefault="00257AFF" w:rsidP="006868F2">
      <w:pPr>
        <w:spacing w:after="0" w:line="240" w:lineRule="auto"/>
      </w:pPr>
      <w:r>
        <w:separator/>
      </w:r>
    </w:p>
  </w:footnote>
  <w:footnote w:type="continuationSeparator" w:id="0">
    <w:p w:rsidR="00257AFF" w:rsidRDefault="00257AFF" w:rsidP="00686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BA"/>
    <w:multiLevelType w:val="hybridMultilevel"/>
    <w:tmpl w:val="4FC821F2"/>
    <w:lvl w:ilvl="0" w:tplc="79226E9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37058"/>
    <w:multiLevelType w:val="hybridMultilevel"/>
    <w:tmpl w:val="7B0ABE3A"/>
    <w:lvl w:ilvl="0" w:tplc="44281CEA">
      <w:start w:val="1"/>
      <w:numFmt w:val="decimal"/>
      <w:lvlText w:val="%1"/>
      <w:lvlJc w:val="left"/>
      <w:pPr>
        <w:ind w:left="720" w:hanging="360"/>
      </w:pPr>
      <w:rPr>
        <w:rFonts w:hint="default"/>
        <w:b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01682"/>
    <w:multiLevelType w:val="hybridMultilevel"/>
    <w:tmpl w:val="7E2E4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94339"/>
    <w:multiLevelType w:val="hybridMultilevel"/>
    <w:tmpl w:val="34DAD72A"/>
    <w:lvl w:ilvl="0" w:tplc="44281C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A0FFF"/>
    <w:multiLevelType w:val="hybridMultilevel"/>
    <w:tmpl w:val="0F9E7658"/>
    <w:lvl w:ilvl="0" w:tplc="802C99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E2E48"/>
    <w:multiLevelType w:val="hybridMultilevel"/>
    <w:tmpl w:val="839C5FE2"/>
    <w:lvl w:ilvl="0" w:tplc="44281C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53C3D"/>
    <w:multiLevelType w:val="hybridMultilevel"/>
    <w:tmpl w:val="7F542140"/>
    <w:lvl w:ilvl="0" w:tplc="44281CEA">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E4976"/>
    <w:multiLevelType w:val="hybridMultilevel"/>
    <w:tmpl w:val="F852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473DC"/>
    <w:multiLevelType w:val="hybridMultilevel"/>
    <w:tmpl w:val="15BE8A12"/>
    <w:lvl w:ilvl="0" w:tplc="44281CEA">
      <w:start w:val="1"/>
      <w:numFmt w:val="decimal"/>
      <w:lvlText w:val="%1"/>
      <w:lvlJc w:val="left"/>
      <w:pPr>
        <w:ind w:left="720" w:hanging="360"/>
      </w:pPr>
      <w:rPr>
        <w:rFonts w:hint="default"/>
        <w:b w:val="0"/>
        <w:color w:val="auto"/>
      </w:rPr>
    </w:lvl>
    <w:lvl w:ilvl="1" w:tplc="56F6A310">
      <w:numFmt w:val="bullet"/>
      <w:lvlText w:val="•"/>
      <w:lvlJc w:val="left"/>
      <w:pPr>
        <w:ind w:left="2520" w:hanging="144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934FE"/>
    <w:multiLevelType w:val="hybridMultilevel"/>
    <w:tmpl w:val="67D6D74C"/>
    <w:lvl w:ilvl="0" w:tplc="44281C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8E4EBD"/>
    <w:multiLevelType w:val="hybridMultilevel"/>
    <w:tmpl w:val="6DE6A452"/>
    <w:lvl w:ilvl="0" w:tplc="44281C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5"/>
  </w:num>
  <w:num w:numId="5">
    <w:abstractNumId w:val="0"/>
  </w:num>
  <w:num w:numId="6">
    <w:abstractNumId w:val="8"/>
  </w:num>
  <w:num w:numId="7">
    <w:abstractNumId w:val="6"/>
  </w:num>
  <w:num w:numId="8">
    <w:abstractNumId w:val="3"/>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D27"/>
    <w:rsid w:val="000F7564"/>
    <w:rsid w:val="00201C36"/>
    <w:rsid w:val="00257AFF"/>
    <w:rsid w:val="00592D27"/>
    <w:rsid w:val="005C2B23"/>
    <w:rsid w:val="005D5433"/>
    <w:rsid w:val="006868F2"/>
    <w:rsid w:val="006A0856"/>
    <w:rsid w:val="009C0B09"/>
    <w:rsid w:val="00A76C65"/>
    <w:rsid w:val="00AD2E90"/>
    <w:rsid w:val="00B12430"/>
    <w:rsid w:val="00B42F76"/>
    <w:rsid w:val="00D2751D"/>
    <w:rsid w:val="00D94E84"/>
    <w:rsid w:val="00DE05B7"/>
    <w:rsid w:val="00E34475"/>
    <w:rsid w:val="00E57F92"/>
    <w:rsid w:val="00F158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D27"/>
    <w:pPr>
      <w:spacing w:after="0" w:line="240" w:lineRule="auto"/>
      <w:ind w:left="720"/>
    </w:pPr>
    <w:rPr>
      <w:rFonts w:ascii="Times New Roman" w:eastAsia="Times New Roman" w:hAnsi="Times New Roman" w:cs="Times New Roman"/>
      <w:sz w:val="24"/>
      <w:szCs w:val="24"/>
    </w:rPr>
  </w:style>
  <w:style w:type="paragraph" w:customStyle="1" w:styleId="Default">
    <w:name w:val="Default"/>
    <w:qFormat/>
    <w:rsid w:val="00592D27"/>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a-size-large">
    <w:name w:val="a-size-large"/>
    <w:basedOn w:val="DefaultParagraphFont"/>
    <w:rsid w:val="00592D27"/>
  </w:style>
  <w:style w:type="paragraph" w:styleId="Header">
    <w:name w:val="header"/>
    <w:basedOn w:val="Normal"/>
    <w:link w:val="HeaderChar"/>
    <w:uiPriority w:val="99"/>
    <w:unhideWhenUsed/>
    <w:rsid w:val="00686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8F2"/>
    <w:rPr>
      <w:rFonts w:eastAsiaTheme="minorEastAsia"/>
    </w:rPr>
  </w:style>
  <w:style w:type="paragraph" w:styleId="Footer">
    <w:name w:val="footer"/>
    <w:basedOn w:val="Normal"/>
    <w:link w:val="FooterChar"/>
    <w:uiPriority w:val="99"/>
    <w:unhideWhenUsed/>
    <w:rsid w:val="00686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8F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dc:creator>
  <cp:keywords/>
  <dc:description/>
  <cp:lastModifiedBy>welcome</cp:lastModifiedBy>
  <cp:revision>12</cp:revision>
  <dcterms:created xsi:type="dcterms:W3CDTF">2020-06-03T10:57:00Z</dcterms:created>
  <dcterms:modified xsi:type="dcterms:W3CDTF">2020-06-05T11:13:00Z</dcterms:modified>
</cp:coreProperties>
</file>