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60F29" w:rsidRDefault="0009239B">
      <w:pPr>
        <w:rPr>
          <w:sz w:val="144"/>
          <w:szCs w:val="144"/>
        </w:rPr>
      </w:pPr>
      <w:r w:rsidRPr="0009239B">
        <w:rPr>
          <w:rFonts w:hint="eastAsia"/>
          <w:sz w:val="144"/>
          <w:szCs w:val="144"/>
        </w:rPr>
        <w:t xml:space="preserve">Mongol paintings </w:t>
      </w:r>
    </w:p>
    <w:p w:rsidR="00760F29" w:rsidRDefault="00760F29">
      <w:pPr>
        <w:rPr>
          <w:sz w:val="144"/>
          <w:szCs w:val="144"/>
        </w:rPr>
      </w:pPr>
      <w:r>
        <w:rPr>
          <w:sz w:val="144"/>
          <w:szCs w:val="144"/>
        </w:rPr>
        <w:br w:type="page"/>
      </w:r>
    </w:p>
    <w:p w:rsidR="00760F29" w:rsidRDefault="00760F29">
      <w:pPr>
        <w:rPr>
          <w:sz w:val="144"/>
          <w:szCs w:val="144"/>
        </w:rPr>
      </w:pPr>
    </w:p>
    <w:p w:rsidR="00760F29" w:rsidRPr="00040698" w:rsidRDefault="00760F29" w:rsidP="00F07C18">
      <w:pPr>
        <w:pStyle w:val="ListParagraph"/>
        <w:numPr>
          <w:ilvl w:val="0"/>
          <w:numId w:val="2"/>
        </w:numPr>
        <w:spacing w:before="96" w:after="120"/>
        <w:divId w:val="437484020"/>
        <w:rPr>
          <w:rFonts w:eastAsia="Times New Roman"/>
          <w:color w:val="000000" w:themeColor="text1"/>
          <w:sz w:val="58"/>
        </w:rPr>
      </w:pPr>
      <w:r w:rsidRPr="00040698">
        <w:rPr>
          <w:rFonts w:ascii="Arial Narrow" w:hAnsi="Arial Narrow"/>
          <w:color w:val="000000" w:themeColor="text1"/>
          <w:kern w:val="24"/>
          <w:sz w:val="40"/>
          <w:szCs w:val="40"/>
        </w:rPr>
        <w:t>A new period of Persian painting began in the Mongol era; even though here and there one can recognize the impact of Seljuq painting,</w:t>
      </w:r>
    </w:p>
    <w:p w:rsidR="00760F29" w:rsidRPr="00040698" w:rsidRDefault="00760F29">
      <w:pPr>
        <w:pStyle w:val="ListParagraph"/>
        <w:numPr>
          <w:ilvl w:val="0"/>
          <w:numId w:val="1"/>
        </w:numPr>
        <w:divId w:val="710498172"/>
        <w:rPr>
          <w:rFonts w:eastAsia="Times New Roman"/>
          <w:color w:val="000000" w:themeColor="text1"/>
          <w:sz w:val="58"/>
        </w:rPr>
      </w:pPr>
      <w:r w:rsidRPr="00040698">
        <w:rPr>
          <w:rFonts w:ascii="Arial Narrow" w:hAnsi="Arial Narrow" w:cstheme="minorBidi"/>
          <w:color w:val="000000" w:themeColor="text1"/>
          <w:kern w:val="24"/>
          <w:sz w:val="40"/>
          <w:szCs w:val="40"/>
        </w:rPr>
        <w:t xml:space="preserve"> on the whole it is a limited one. Although the new style was primarily expressed in miniature painting,</w:t>
      </w:r>
    </w:p>
    <w:p w:rsidR="00760F29" w:rsidRPr="00040698" w:rsidRDefault="00760F29">
      <w:pPr>
        <w:pStyle w:val="ListParagraph"/>
        <w:numPr>
          <w:ilvl w:val="0"/>
          <w:numId w:val="1"/>
        </w:numPr>
        <w:divId w:val="315496694"/>
        <w:rPr>
          <w:rFonts w:eastAsia="Times New Roman"/>
          <w:color w:val="000000" w:themeColor="text1"/>
          <w:sz w:val="58"/>
        </w:rPr>
      </w:pPr>
      <w:r w:rsidRPr="00040698">
        <w:rPr>
          <w:rFonts w:ascii="Arial Narrow" w:hAnsi="Arial Narrow" w:cstheme="minorBidi"/>
          <w:color w:val="000000" w:themeColor="text1"/>
          <w:kern w:val="24"/>
          <w:sz w:val="40"/>
          <w:szCs w:val="40"/>
        </w:rPr>
        <w:t xml:space="preserve"> it is known from literary sources that mural painting flourished as well. Masterpieces of Persian literature were illustrated: first the </w:t>
      </w:r>
      <w:proofErr w:type="spellStart"/>
      <w:r w:rsidRPr="00040698">
        <w:rPr>
          <w:rFonts w:ascii="Arial Narrow" w:hAnsi="Arial Narrow" w:cstheme="minorBidi"/>
          <w:color w:val="000000" w:themeColor="text1"/>
          <w:kern w:val="24"/>
          <w:sz w:val="40"/>
          <w:szCs w:val="40"/>
        </w:rPr>
        <w:t>Shāh-nāmeh</w:t>
      </w:r>
      <w:proofErr w:type="spellEnd"/>
      <w:r w:rsidRPr="00040698">
        <w:rPr>
          <w:rFonts w:ascii="Arial Narrow" w:hAnsi="Arial Narrow" w:cstheme="minorBidi"/>
          <w:color w:val="000000" w:themeColor="text1"/>
          <w:kern w:val="24"/>
          <w:sz w:val="40"/>
          <w:szCs w:val="40"/>
        </w:rPr>
        <w:t xml:space="preserve"> (“Book of Kings”) by the 11th-century poet </w:t>
      </w:r>
      <w:proofErr w:type="spellStart"/>
      <w:r w:rsidRPr="00040698">
        <w:rPr>
          <w:rFonts w:ascii="Arial Narrow" w:hAnsi="Arial Narrow" w:cstheme="minorBidi"/>
          <w:color w:val="000000" w:themeColor="text1"/>
          <w:kern w:val="24"/>
          <w:sz w:val="40"/>
          <w:szCs w:val="40"/>
        </w:rPr>
        <w:t>Ferdowsī</w:t>
      </w:r>
      <w:proofErr w:type="spellEnd"/>
      <w:r w:rsidRPr="00040698">
        <w:rPr>
          <w:rFonts w:ascii="Arial Narrow" w:hAnsi="Arial Narrow" w:cstheme="minorBidi"/>
          <w:color w:val="000000" w:themeColor="text1"/>
          <w:kern w:val="24"/>
          <w:sz w:val="40"/>
          <w:szCs w:val="40"/>
        </w:rPr>
        <w:t xml:space="preserve"> and then, </w:t>
      </w:r>
    </w:p>
    <w:p w:rsidR="00760F29" w:rsidRPr="00040698" w:rsidRDefault="00760F29">
      <w:pPr>
        <w:rPr>
          <w:color w:val="000000" w:themeColor="text1"/>
          <w:sz w:val="144"/>
          <w:szCs w:val="144"/>
        </w:rPr>
      </w:pPr>
      <w:r w:rsidRPr="00040698">
        <w:rPr>
          <w:rFonts w:ascii="Arial Narrow" w:hAnsi="Arial Narrow"/>
          <w:color w:val="000000" w:themeColor="text1"/>
          <w:kern w:val="24"/>
          <w:sz w:val="40"/>
          <w:szCs w:val="40"/>
        </w:rPr>
        <w:t xml:space="preserve">from the second half of the 14th century, lyrical and mystical works, primarily those by the 12th-century poet </w:t>
      </w:r>
      <w:proofErr w:type="spellStart"/>
      <w:r w:rsidRPr="00040698">
        <w:rPr>
          <w:rFonts w:ascii="Arial Narrow" w:hAnsi="Arial Narrow"/>
          <w:color w:val="000000" w:themeColor="text1"/>
          <w:kern w:val="24"/>
          <w:sz w:val="40"/>
          <w:szCs w:val="40"/>
        </w:rPr>
        <w:t>Ne</w:t>
      </w:r>
      <w:r w:rsidRPr="00040698">
        <w:rPr>
          <w:rFonts w:ascii="Arial" w:hAnsi="Arial" w:cs="Arial"/>
          <w:color w:val="000000" w:themeColor="text1"/>
          <w:kern w:val="24"/>
          <w:sz w:val="40"/>
          <w:szCs w:val="40"/>
        </w:rPr>
        <w:t>ẓ</w:t>
      </w:r>
      <w:r w:rsidRPr="00040698">
        <w:rPr>
          <w:rFonts w:ascii="Arial Narrow" w:hAnsi="Arial Narrow"/>
          <w:color w:val="000000" w:themeColor="text1"/>
          <w:kern w:val="24"/>
          <w:sz w:val="40"/>
          <w:szCs w:val="40"/>
        </w:rPr>
        <w:t>āmī</w:t>
      </w:r>
      <w:proofErr w:type="spellEnd"/>
      <w:r w:rsidRPr="00040698">
        <w:rPr>
          <w:rFonts w:ascii="Arial Narrow" w:hAnsi="Arial Narrow"/>
          <w:color w:val="000000" w:themeColor="text1"/>
          <w:kern w:val="24"/>
          <w:sz w:val="40"/>
          <w:szCs w:val="40"/>
        </w:rPr>
        <w:t xml:space="preserve">. Historical texts or chronicles such as </w:t>
      </w:r>
      <w:proofErr w:type="spellStart"/>
      <w:r w:rsidRPr="00040698">
        <w:rPr>
          <w:rFonts w:ascii="Arial Narrow" w:hAnsi="Arial Narrow"/>
          <w:color w:val="000000" w:themeColor="text1"/>
          <w:kern w:val="24"/>
          <w:sz w:val="40"/>
          <w:szCs w:val="40"/>
        </w:rPr>
        <w:t>Rashīd</w:t>
      </w:r>
      <w:proofErr w:type="spellEnd"/>
      <w:r w:rsidRPr="00040698">
        <w:rPr>
          <w:rFonts w:ascii="Arial Narrow" w:hAnsi="Arial Narrow"/>
          <w:color w:val="000000" w:themeColor="text1"/>
          <w:kern w:val="24"/>
          <w:sz w:val="40"/>
          <w:szCs w:val="40"/>
        </w:rPr>
        <w:t xml:space="preserve"> al-</w:t>
      </w:r>
      <w:proofErr w:type="spellStart"/>
      <w:r w:rsidRPr="00040698">
        <w:rPr>
          <w:rFonts w:ascii="Arial Narrow" w:hAnsi="Arial Narrow"/>
          <w:color w:val="000000" w:themeColor="text1"/>
          <w:kern w:val="24"/>
          <w:sz w:val="40"/>
          <w:szCs w:val="40"/>
        </w:rPr>
        <w:t>Dīn’s</w:t>
      </w:r>
      <w:proofErr w:type="spellEnd"/>
      <w:r w:rsidRPr="00040698">
        <w:rPr>
          <w:rFonts w:ascii="Arial Narrow" w:hAnsi="Arial Narrow"/>
          <w:color w:val="000000" w:themeColor="text1"/>
          <w:kern w:val="24"/>
          <w:sz w:val="40"/>
          <w:szCs w:val="40"/>
        </w:rPr>
        <w:t xml:space="preserve"> </w:t>
      </w:r>
      <w:proofErr w:type="spellStart"/>
      <w:r w:rsidRPr="00040698">
        <w:rPr>
          <w:rFonts w:ascii="Arial Narrow" w:hAnsi="Arial Narrow"/>
          <w:color w:val="000000" w:themeColor="text1"/>
          <w:kern w:val="24"/>
          <w:sz w:val="40"/>
          <w:szCs w:val="40"/>
        </w:rPr>
        <w:t>Jāmi</w:t>
      </w:r>
      <w:r w:rsidRPr="00040698">
        <w:rPr>
          <w:rFonts w:ascii="Arial" w:hAnsi="Arial" w:cs="Arial"/>
          <w:color w:val="000000" w:themeColor="text1"/>
          <w:kern w:val="24"/>
          <w:sz w:val="40"/>
          <w:szCs w:val="40"/>
        </w:rPr>
        <w:t>ʿ</w:t>
      </w:r>
      <w:proofErr w:type="spellEnd"/>
      <w:r w:rsidRPr="00040698">
        <w:rPr>
          <w:rFonts w:ascii="Arial Narrow" w:hAnsi="Arial Narrow"/>
          <w:color w:val="000000" w:themeColor="text1"/>
          <w:kern w:val="24"/>
          <w:sz w:val="40"/>
          <w:szCs w:val="40"/>
        </w:rPr>
        <w:t xml:space="preserve"> al-</w:t>
      </w:r>
      <w:proofErr w:type="spellStart"/>
      <w:r w:rsidRPr="00040698">
        <w:rPr>
          <w:rFonts w:ascii="Arial Narrow" w:hAnsi="Arial Narrow"/>
          <w:color w:val="000000" w:themeColor="text1"/>
          <w:kern w:val="24"/>
          <w:sz w:val="40"/>
          <w:szCs w:val="40"/>
        </w:rPr>
        <w:t>tawārīkh</w:t>
      </w:r>
      <w:proofErr w:type="spellEnd"/>
      <w:r w:rsidRPr="00040698">
        <w:rPr>
          <w:rFonts w:ascii="Arial Narrow" w:hAnsi="Arial Narrow"/>
          <w:color w:val="000000" w:themeColor="text1"/>
          <w:kern w:val="24"/>
          <w:sz w:val="40"/>
          <w:szCs w:val="40"/>
        </w:rPr>
        <w:t xml:space="preserve"> (“The Collection of Chronicles”) were also illustrated, especially in the early Mongol period.</w:t>
      </w:r>
    </w:p>
    <w:p w:rsidR="00760F29" w:rsidRDefault="00760F29">
      <w:pPr>
        <w:rPr>
          <w:sz w:val="144"/>
          <w:szCs w:val="144"/>
        </w:rPr>
      </w:pPr>
      <w:r>
        <w:rPr>
          <w:sz w:val="144"/>
          <w:szCs w:val="144"/>
        </w:rPr>
        <w:br w:type="page"/>
      </w:r>
    </w:p>
    <w:p w:rsidR="000867D2" w:rsidRDefault="000867D2" w:rsidP="00E44C0C">
      <w:pPr>
        <w:rPr>
          <w:sz w:val="144"/>
          <w:szCs w:val="144"/>
        </w:rPr>
      </w:pPr>
    </w:p>
    <w:p w:rsidR="001E5CF0" w:rsidRDefault="001E5CF0">
      <w:pPr>
        <w:numPr>
          <w:ilvl w:val="0"/>
          <w:numId w:val="1"/>
        </w:numPr>
        <w:divId w:val="1177622334"/>
        <w:rPr>
          <w:rFonts w:eastAsia="Times New Roman"/>
          <w:color w:val="1287C3"/>
          <w:sz w:val="64"/>
          <w:szCs w:val="24"/>
        </w:rPr>
      </w:pPr>
      <w:r>
        <w:rPr>
          <w:rFonts w:ascii="Arial Narrow" w:hAnsi="Arial Narrow"/>
          <w:color w:val="000000" w:themeColor="text1"/>
          <w:kern w:val="24"/>
          <w:sz w:val="44"/>
          <w:szCs w:val="44"/>
        </w:rPr>
        <w:t>Persian art of the Mongol period differs in a very important way from any of the other traditions of the middle period of Islamic art.</w:t>
      </w:r>
    </w:p>
    <w:p w:rsidR="001E5CF0" w:rsidRDefault="001E5CF0">
      <w:pPr>
        <w:numPr>
          <w:ilvl w:val="0"/>
          <w:numId w:val="1"/>
        </w:numPr>
        <w:divId w:val="550190228"/>
        <w:rPr>
          <w:rFonts w:eastAsia="Times New Roman"/>
          <w:color w:val="1287C3"/>
          <w:sz w:val="64"/>
        </w:rPr>
      </w:pPr>
      <w:r>
        <w:rPr>
          <w:rFonts w:ascii="Arial Narrow" w:hAnsi="Arial Narrow"/>
          <w:color w:val="000000" w:themeColor="text1"/>
          <w:kern w:val="24"/>
          <w:sz w:val="44"/>
          <w:szCs w:val="44"/>
        </w:rPr>
        <w:t xml:space="preserve"> Even though Iran, like all other areas at that time, was not ethnically homogeneous, its art tended to be uniquely “national.”</w:t>
      </w:r>
    </w:p>
    <w:p w:rsidR="001E5CF0" w:rsidRDefault="001E5CF0">
      <w:pPr>
        <w:numPr>
          <w:ilvl w:val="0"/>
          <w:numId w:val="1"/>
        </w:numPr>
        <w:divId w:val="727388259"/>
        <w:rPr>
          <w:rFonts w:eastAsia="Times New Roman"/>
          <w:color w:val="1287C3"/>
          <w:sz w:val="64"/>
        </w:rPr>
      </w:pPr>
      <w:r>
        <w:rPr>
          <w:rFonts w:ascii="Arial Narrow" w:hAnsi="Arial Narrow"/>
          <w:color w:val="000000" w:themeColor="text1"/>
          <w:kern w:val="24"/>
          <w:sz w:val="44"/>
          <w:szCs w:val="44"/>
        </w:rPr>
        <w:t xml:space="preserve"> In architecture, nationalism was mostly a matter of function, for during this period the </w:t>
      </w:r>
      <w:proofErr w:type="spellStart"/>
      <w:r>
        <w:rPr>
          <w:rFonts w:ascii="Arial Narrow" w:hAnsi="Arial Narrow"/>
          <w:color w:val="000000" w:themeColor="text1"/>
          <w:kern w:val="24"/>
          <w:sz w:val="44"/>
          <w:szCs w:val="44"/>
        </w:rPr>
        <w:t>Shī</w:t>
      </w:r>
      <w:r>
        <w:rPr>
          <w:rFonts w:ascii="Arial" w:hAnsi="Arial" w:cs="Arial"/>
          <w:color w:val="000000" w:themeColor="text1"/>
          <w:kern w:val="24"/>
          <w:sz w:val="44"/>
          <w:szCs w:val="44"/>
        </w:rPr>
        <w:t>ʿ</w:t>
      </w:r>
      <w:r>
        <w:rPr>
          <w:rFonts w:ascii="Arial Narrow" w:hAnsi="Arial Narrow"/>
          <w:color w:val="000000" w:themeColor="text1"/>
          <w:kern w:val="24"/>
          <w:sz w:val="44"/>
          <w:szCs w:val="44"/>
        </w:rPr>
        <w:t>ites</w:t>
      </w:r>
      <w:proofErr w:type="spellEnd"/>
      <w:r>
        <w:rPr>
          <w:rFonts w:ascii="Arial Narrow" w:hAnsi="Arial Narrow"/>
          <w:color w:val="000000" w:themeColor="text1"/>
          <w:kern w:val="24"/>
          <w:sz w:val="44"/>
          <w:szCs w:val="44"/>
        </w:rPr>
        <w:t xml:space="preserve"> grew in importance, and new monumental settings were required for their holy places.</w:t>
      </w:r>
    </w:p>
    <w:p w:rsidR="001E5CF0" w:rsidRDefault="001E5CF0">
      <w:pPr>
        <w:numPr>
          <w:ilvl w:val="0"/>
          <w:numId w:val="1"/>
        </w:numPr>
        <w:divId w:val="1315136725"/>
        <w:rPr>
          <w:rFonts w:eastAsia="Times New Roman"/>
          <w:color w:val="1287C3"/>
          <w:sz w:val="64"/>
        </w:rPr>
      </w:pPr>
      <w:r>
        <w:rPr>
          <w:rFonts w:ascii="Arial Narrow" w:hAnsi="Arial Narrow"/>
          <w:color w:val="000000" w:themeColor="text1"/>
          <w:kern w:val="24"/>
          <w:sz w:val="44"/>
          <w:szCs w:val="44"/>
        </w:rPr>
        <w:t xml:space="preserve"> Iranian individualism is especially apparent in painting, in which Chinese and other foreign styles were consistently adapted to express intensely Iranian subjects, thereby creating a uniquely Persian style.</w:t>
      </w:r>
    </w:p>
    <w:p w:rsidR="00760F29" w:rsidRDefault="00BD0498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0</wp:posOffset>
            </wp:positionV>
            <wp:extent cx="5540375" cy="8229600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0F29">
        <w:rPr>
          <w:sz w:val="144"/>
          <w:szCs w:val="144"/>
        </w:rPr>
        <w:br w:type="page"/>
      </w:r>
    </w:p>
    <w:p w:rsidR="00760F29" w:rsidRDefault="00563F90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154305</wp:posOffset>
            </wp:positionV>
            <wp:extent cx="5943600" cy="802068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F29" w:rsidRDefault="00894D9C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0</wp:posOffset>
            </wp:positionV>
            <wp:extent cx="5807075" cy="8229600"/>
            <wp:effectExtent l="0" t="0" r="317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0F29">
        <w:rPr>
          <w:sz w:val="144"/>
          <w:szCs w:val="144"/>
        </w:rPr>
        <w:br w:type="page"/>
      </w:r>
    </w:p>
    <w:p w:rsidR="00760F29" w:rsidRDefault="001373EA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1307465</wp:posOffset>
            </wp:positionV>
            <wp:extent cx="5943600" cy="3705860"/>
            <wp:effectExtent l="0" t="0" r="0" b="889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F29" w:rsidRDefault="00760F29">
      <w:pPr>
        <w:rPr>
          <w:sz w:val="144"/>
          <w:szCs w:val="144"/>
        </w:rPr>
      </w:pPr>
      <w:r>
        <w:rPr>
          <w:sz w:val="144"/>
          <w:szCs w:val="144"/>
        </w:rPr>
        <w:br w:type="page"/>
      </w:r>
    </w:p>
    <w:p w:rsidR="00760F29" w:rsidRDefault="00AC065B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26100" cy="82296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F29" w:rsidRDefault="00364239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78805" cy="82296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0F29">
        <w:rPr>
          <w:sz w:val="144"/>
          <w:szCs w:val="144"/>
        </w:rPr>
        <w:br w:type="page"/>
      </w:r>
    </w:p>
    <w:p w:rsidR="00CA001E" w:rsidRDefault="00CA001E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0</wp:posOffset>
            </wp:positionV>
            <wp:extent cx="5533390" cy="82296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01E" w:rsidRDefault="00803DFD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0</wp:posOffset>
            </wp:positionV>
            <wp:extent cx="5542915" cy="8229600"/>
            <wp:effectExtent l="0" t="0" r="63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01E">
        <w:rPr>
          <w:sz w:val="144"/>
          <w:szCs w:val="144"/>
        </w:rPr>
        <w:br w:type="page"/>
      </w:r>
    </w:p>
    <w:p w:rsidR="00CA001E" w:rsidRDefault="00D50009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65395" cy="8229600"/>
            <wp:effectExtent l="0" t="0" r="190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239B" w:rsidRPr="0009239B" w:rsidRDefault="0009239B">
      <w:pPr>
        <w:rPr>
          <w:sz w:val="144"/>
          <w:szCs w:val="144"/>
        </w:rPr>
      </w:pPr>
    </w:p>
    <w:sectPr w:rsidR="0009239B" w:rsidRPr="000923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E64890"/>
    <w:multiLevelType w:val="hybridMultilevel"/>
    <w:tmpl w:val="FFFFFFFF"/>
    <w:lvl w:ilvl="0" w:tplc="E1FAC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E83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E46E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A5E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A9A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0A97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9A8A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6ED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B6D2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8082FC5"/>
    <w:multiLevelType w:val="hybridMultilevel"/>
    <w:tmpl w:val="9B906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39B"/>
    <w:rsid w:val="00040698"/>
    <w:rsid w:val="000867D2"/>
    <w:rsid w:val="0009239B"/>
    <w:rsid w:val="001373EA"/>
    <w:rsid w:val="001B16DD"/>
    <w:rsid w:val="001E5CF0"/>
    <w:rsid w:val="0021434F"/>
    <w:rsid w:val="00364239"/>
    <w:rsid w:val="00563F90"/>
    <w:rsid w:val="00760F29"/>
    <w:rsid w:val="007935D4"/>
    <w:rsid w:val="00803DFD"/>
    <w:rsid w:val="00894D9C"/>
    <w:rsid w:val="00AC065B"/>
    <w:rsid w:val="00BD0498"/>
    <w:rsid w:val="00CA001E"/>
    <w:rsid w:val="00CE0CEE"/>
    <w:rsid w:val="00D2493D"/>
    <w:rsid w:val="00D50009"/>
    <w:rsid w:val="00F0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906E43F6-447D-2E40-9102-62BC9202C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0F2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84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84020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8172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669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2334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0228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8259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6725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theme" Target="theme/theme1.xml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215</Words>
  <Characters>1228</Characters>
  <Application>Microsoft Office Word</Application>
  <DocSecurity>0</DocSecurity>
  <Lines>10</Lines>
  <Paragraphs>2</Paragraphs>
  <ScaleCrop>false</ScaleCrop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923437509256</dc:creator>
  <cp:keywords/>
  <dc:description/>
  <cp:lastModifiedBy>923437509256</cp:lastModifiedBy>
  <cp:revision>2</cp:revision>
  <dcterms:created xsi:type="dcterms:W3CDTF">2020-05-06T17:11:00Z</dcterms:created>
  <dcterms:modified xsi:type="dcterms:W3CDTF">2020-05-06T17:11:00Z</dcterms:modified>
</cp:coreProperties>
</file>