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36" w:rsidRPr="00AF3C36" w:rsidRDefault="00AF3C36" w:rsidP="00AF3C36">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48"/>
          <w:szCs w:val="48"/>
        </w:rPr>
      </w:pPr>
      <w:r w:rsidRPr="00AF3C36">
        <w:rPr>
          <w:rFonts w:ascii="Times New Roman" w:eastAsia="Times New Roman" w:hAnsi="Times New Roman" w:cs="Times New Roman"/>
          <w:color w:val="000000"/>
          <w:kern w:val="36"/>
          <w:sz w:val="48"/>
          <w:szCs w:val="48"/>
        </w:rPr>
        <w:t>What Is Community Engagement?</w:t>
      </w:r>
    </w:p>
    <w:p w:rsidR="00AF3C36" w:rsidRPr="00AF3C36" w:rsidRDefault="00AF3C36" w:rsidP="00AF3C36">
      <w:pPr>
        <w:shd w:val="clear" w:color="auto" w:fill="FFFFFF"/>
        <w:spacing w:after="0" w:line="240" w:lineRule="auto"/>
        <w:rPr>
          <w:rFonts w:ascii="Segoe UI" w:eastAsia="Times New Roman" w:hAnsi="Segoe UI" w:cs="Segoe UI"/>
          <w:color w:val="000000"/>
          <w:sz w:val="26"/>
          <w:szCs w:val="26"/>
        </w:rPr>
      </w:pPr>
      <w:r w:rsidRPr="00AF3C36">
        <w:rPr>
          <w:rFonts w:ascii="Segoe UI" w:eastAsia="Times New Roman" w:hAnsi="Segoe UI" w:cs="Segoe UI"/>
          <w:noProof/>
          <w:color w:val="000000"/>
          <w:sz w:val="26"/>
          <w:szCs w:val="26"/>
        </w:rPr>
        <w:drawing>
          <wp:inline distT="0" distB="0" distL="0" distR="0" wp14:anchorId="0333D64E" wp14:editId="76B12BB3">
            <wp:extent cx="8572500" cy="2066925"/>
            <wp:effectExtent l="0" t="0" r="0" b="9525"/>
            <wp:docPr id="1" name="Picture 1" descr="Community Eng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Engageme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2066925"/>
                    </a:xfrm>
                    <a:prstGeom prst="rect">
                      <a:avLst/>
                    </a:prstGeom>
                    <a:noFill/>
                    <a:ln>
                      <a:noFill/>
                    </a:ln>
                  </pic:spPr>
                </pic:pic>
              </a:graphicData>
            </a:graphic>
          </wp:inline>
        </w:drawing>
      </w:r>
    </w:p>
    <w:p w:rsidR="00AF3C3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In the first edition of </w:t>
      </w:r>
      <w:r w:rsidRPr="00AF3C36">
        <w:rPr>
          <w:rFonts w:ascii="Segoe UI" w:eastAsia="Times New Roman" w:hAnsi="Segoe UI" w:cs="Segoe UI"/>
          <w:i/>
          <w:iCs/>
          <w:color w:val="000000"/>
          <w:sz w:val="26"/>
          <w:szCs w:val="26"/>
        </w:rPr>
        <w:t>Principles</w:t>
      </w:r>
      <w:r w:rsidRPr="00AF3C36">
        <w:rPr>
          <w:rFonts w:ascii="Segoe UI" w:eastAsia="Times New Roman" w:hAnsi="Segoe UI" w:cs="Segoe UI"/>
          <w:color w:val="000000"/>
          <w:sz w:val="26"/>
          <w:szCs w:val="26"/>
        </w:rPr>
        <w:t>, the authors developed a working definition of community engagement that captures its key features:</w:t>
      </w:r>
    </w:p>
    <w:p w:rsidR="00AF3C36" w:rsidRPr="00AF3C36" w:rsidRDefault="00AF3C36" w:rsidP="00AF3C36">
      <w:pPr>
        <w:shd w:val="clear" w:color="auto" w:fill="FFFFFF"/>
        <w:spacing w:after="0"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…the process of working collaboratively with and through groups of people affiliated by geographic proximity, special interest, or similar situations to address issues affecting the wellbeing of those people. It is a powerful vehicle for bringing about environmental and behavioral changes that will improve the health of the community and its members. It often involves partnerships and coalitions that help mobilize resources and influence systems, change relationships among partners, and serve as catalysts for changing policies, programs, and practices (CDC, 1997, p. 9).</w:t>
      </w:r>
    </w:p>
    <w:p w:rsidR="00AF3C3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Community engagement can take many forms, and partners can include organized groups, agencies, institutions, or individuals. Collaborators may be engaged in health promotion, research, or policy making.</w:t>
      </w:r>
    </w:p>
    <w:p w:rsidR="00AF3C3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 xml:space="preserve">Community engagement can also be seen as a continuum of community involvement. Figure 1.1 below, modified from a diagram originally drawn by the International Association for Public Participation, </w:t>
      </w:r>
      <w:proofErr w:type="gramStart"/>
      <w:r w:rsidRPr="00AF3C36">
        <w:rPr>
          <w:rFonts w:ascii="Segoe UI" w:eastAsia="Times New Roman" w:hAnsi="Segoe UI" w:cs="Segoe UI"/>
          <w:color w:val="000000"/>
          <w:sz w:val="26"/>
          <w:szCs w:val="26"/>
        </w:rPr>
        <w:t>illustrates</w:t>
      </w:r>
      <w:proofErr w:type="gramEnd"/>
      <w:r w:rsidRPr="00AF3C36">
        <w:rPr>
          <w:rFonts w:ascii="Segoe UI" w:eastAsia="Times New Roman" w:hAnsi="Segoe UI" w:cs="Segoe UI"/>
          <w:color w:val="000000"/>
          <w:sz w:val="26"/>
          <w:szCs w:val="26"/>
        </w:rPr>
        <w:t xml:space="preserve"> one way of thinking about such a continuum. Over time, a specific collaboration is likely to move along this continuum toward greater community involvement, and any given collaboration is likely to evolve in other ways, too. Most notably, while community engagement may be achieved during a </w:t>
      </w:r>
      <w:proofErr w:type="spellStart"/>
      <w:r w:rsidRPr="00AF3C36">
        <w:rPr>
          <w:rFonts w:ascii="Segoe UI" w:eastAsia="Times New Roman" w:hAnsi="Segoe UI" w:cs="Segoe UI"/>
          <w:color w:val="000000"/>
          <w:sz w:val="26"/>
          <w:szCs w:val="26"/>
        </w:rPr>
        <w:t>timelimited</w:t>
      </w:r>
      <w:proofErr w:type="spellEnd"/>
      <w:r w:rsidRPr="00AF3C36">
        <w:rPr>
          <w:rFonts w:ascii="Segoe UI" w:eastAsia="Times New Roman" w:hAnsi="Segoe UI" w:cs="Segoe UI"/>
          <w:color w:val="000000"/>
          <w:sz w:val="26"/>
          <w:szCs w:val="26"/>
        </w:rPr>
        <w:t xml:space="preserve"> project, it frequently involves — and often evolves into — long-term partnerships that move from the traditional focus on a single health issue to address a range of social, economic, political, and environmental factors that affect health.</w:t>
      </w:r>
    </w:p>
    <w:p w:rsidR="00AF3C36" w:rsidRPr="00AF3C36" w:rsidRDefault="00AF3C36" w:rsidP="00AF3C36">
      <w:pPr>
        <w:shd w:val="clear" w:color="auto" w:fill="FFFFFF"/>
        <w:spacing w:after="0" w:line="240" w:lineRule="auto"/>
        <w:rPr>
          <w:rFonts w:ascii="Segoe UI" w:eastAsia="Times New Roman" w:hAnsi="Segoe UI" w:cs="Segoe UI"/>
          <w:color w:val="000000"/>
          <w:sz w:val="26"/>
          <w:szCs w:val="26"/>
        </w:rPr>
      </w:pPr>
      <w:bookmarkStart w:id="0" w:name="figure1"/>
      <w:bookmarkEnd w:id="0"/>
      <w:r w:rsidRPr="00AF3C36">
        <w:rPr>
          <w:rFonts w:ascii="Segoe UI" w:eastAsia="Times New Roman" w:hAnsi="Segoe UI" w:cs="Segoe UI"/>
          <w:noProof/>
          <w:color w:val="075290"/>
          <w:sz w:val="26"/>
          <w:szCs w:val="26"/>
        </w:rPr>
        <w:lastRenderedPageBreak/>
        <w:drawing>
          <wp:inline distT="0" distB="0" distL="0" distR="0" wp14:anchorId="1E291512" wp14:editId="291A1C12">
            <wp:extent cx="4733925" cy="2581275"/>
            <wp:effectExtent l="0" t="0" r="9525" b="9525"/>
            <wp:docPr id="2" name="Picture 2" descr="Figure adapted from the International Association for Public Participation and titled “Increasing Level of Community Involvement, Impact, Trust, and Communication Flow.” An arrow from left to right spans the figure. The first column on the far left side is titled Outreach—Some Community Involvement, which is described as follows: Communication flow is from one to the other, to inform; provides community with information; entities co-exist; and outcomes: optimally, establishes communication channels and channels for research. The next column from the left is titled Consult—More Community Involvement, which is described as follows: Communication flows to the community and then back, answer seeking; Gets information or feedback from the community; entities share information; and outcomes: develops connections. The next column from the left is titled Involve—Better Community Involvement, which is described as follows: Communication flows both ways, participatory form of communication; involves more participation with community on issues; entities are cooperating with each other; and outcomes: visibility of partnership established with increased cooperation. The next column from the left is titled Collaborate—Community Involvement, which is described as follows: Communication flow is bidirectional; forms partnerships with community on each aspect of project from development to solution; entities form bidirectional communication channels; and outcomes: partnership building, trust building. The last column on the far right is titled Shared Leadership—Strong Bidirectional Relationship, which is described as follows: Final decision making is at community level; entities have formed strong partnership structures; and outcomes: Broader health outcomes affecting broader community. Strong bidirectional trust bui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adapted from the International Association for Public Participation and titled “Increasing Level of Community Involvement, Impact, Trust, and Communication Flow.” An arrow from left to right spans the figure. The first column on the far left side is titled Outreach—Some Community Involvement, which is described as follows: Communication flow is from one to the other, to inform; provides community with information; entities co-exist; and outcomes: optimally, establishes communication channels and channels for research. The next column from the left is titled Consult—More Community Involvement, which is described as follows: Communication flows to the community and then back, answer seeking; Gets information or feedback from the community; entities share information; and outcomes: develops connections. The next column from the left is titled Involve—Better Community Involvement, which is described as follows: Communication flows both ways, participatory form of communication; involves more participation with community on issues; entities are cooperating with each other; and outcomes: visibility of partnership established with increased cooperation. The next column from the left is titled Collaborate—Community Involvement, which is described as follows: Communication flow is bidirectional; forms partnerships with community on each aspect of project from development to solution; entities form bidirectional communication channels; and outcomes: partnership building, trust building. The last column on the far right is titled Shared Leadership—Strong Bidirectional Relationship, which is described as follows: Final decision making is at community level; entities have formed strong partnership structures; and outcomes: Broader health outcomes affecting broader community. Strong bidirectional trust buil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2581275"/>
                    </a:xfrm>
                    <a:prstGeom prst="rect">
                      <a:avLst/>
                    </a:prstGeom>
                    <a:noFill/>
                    <a:ln>
                      <a:noFill/>
                    </a:ln>
                  </pic:spPr>
                </pic:pic>
              </a:graphicData>
            </a:graphic>
          </wp:inline>
        </w:drawing>
      </w:r>
    </w:p>
    <w:p w:rsidR="00AF3C36" w:rsidRPr="00AF3C36" w:rsidRDefault="00AF3C36" w:rsidP="00AF3C36">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AF3C36">
        <w:rPr>
          <w:rFonts w:ascii="Times New Roman" w:eastAsia="Times New Roman" w:hAnsi="Times New Roman" w:cs="Times New Roman"/>
          <w:b/>
          <w:bCs/>
          <w:color w:val="000000"/>
          <w:sz w:val="27"/>
          <w:szCs w:val="27"/>
        </w:rPr>
        <w:t>Why Practice Community Engagement?</w:t>
      </w:r>
    </w:p>
    <w:p w:rsidR="00AF3C3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Advocates of community engagement assert that it improves health promotion and health research. However, the processes, costs, and benefits of community engagement are still a relatively new field of study. In 2004, AHRQ brought attention to the importance of empirical work in this area and greatly advanced our knowledge through a synthesis of the research, much of which indicated that community engagement strengthened the conduct of research (Viswanathan et al., 2004).</w:t>
      </w:r>
    </w:p>
    <w:p w:rsidR="00AF3C3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A recent review of the literature on community engagement identified nine areas in which community engagement made a positive impact (Staley, 2009). Although this study focused on research partnerships, many of its findings are relevant to community engagement in general. The nine areas and the corresponding benefits were as follows:</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Agenda</w:t>
      </w:r>
      <w:r w:rsidRPr="00AF3C36">
        <w:rPr>
          <w:rFonts w:ascii="Segoe UI" w:eastAsia="Times New Roman" w:hAnsi="Segoe UI" w:cs="Segoe UI"/>
          <w:color w:val="000000"/>
          <w:sz w:val="26"/>
          <w:szCs w:val="26"/>
        </w:rPr>
        <w:t>—Engagement changes the choice and focus of projects, how they are initiated, and their potential to obtain funding. New areas for collaboration are identified, and funding that requires community engagement becomes accessible.</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Design and delivery</w:t>
      </w:r>
      <w:r w:rsidRPr="00AF3C36">
        <w:rPr>
          <w:rFonts w:ascii="Segoe UI" w:eastAsia="Times New Roman" w:hAnsi="Segoe UI" w:cs="Segoe UI"/>
          <w:color w:val="000000"/>
          <w:sz w:val="26"/>
          <w:szCs w:val="26"/>
        </w:rPr>
        <w:t xml:space="preserve">—Improvements to study design, tools, interventions, representation/participation, data collection and analysis, communication, and dissemination can be implemented. New interventions or previously unappreciated causal links can be identified through the community’s knowledge of local circumstances. The speed and efficiency of the project can </w:t>
      </w:r>
      <w:r w:rsidRPr="00AF3C36">
        <w:rPr>
          <w:rFonts w:ascii="Segoe UI" w:eastAsia="Times New Roman" w:hAnsi="Segoe UI" w:cs="Segoe UI"/>
          <w:color w:val="000000"/>
          <w:sz w:val="26"/>
          <w:szCs w:val="26"/>
        </w:rPr>
        <w:lastRenderedPageBreak/>
        <w:t>be enhanced by rapidly engaging partners and participants and identifying new sources of information.</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Implementation and change</w:t>
      </w:r>
      <w:r w:rsidRPr="00AF3C36">
        <w:rPr>
          <w:rFonts w:ascii="Segoe UI" w:eastAsia="Times New Roman" w:hAnsi="Segoe UI" w:cs="Segoe UI"/>
          <w:color w:val="000000"/>
          <w:sz w:val="26"/>
          <w:szCs w:val="26"/>
        </w:rPr>
        <w:t>—Improvements can be made in the way research findings are used to bring about change (e.g., through new or improved services, policy or funding changes, or transformation of professional practices), and capacity for change and the maintenance of long-term partnerships can be expanded.</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Ethics</w:t>
      </w:r>
      <w:r w:rsidRPr="00AF3C36">
        <w:rPr>
          <w:rFonts w:ascii="Segoe UI" w:eastAsia="Times New Roman" w:hAnsi="Segoe UI" w:cs="Segoe UI"/>
          <w:color w:val="000000"/>
          <w:sz w:val="26"/>
          <w:szCs w:val="26"/>
        </w:rPr>
        <w:t>—Engagement creates opportunities to improve the consent process, identify ethical pitfalls, and create processes for resolving ethical problems when they arise.</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The public involved in the project</w:t>
      </w:r>
      <w:r w:rsidRPr="00AF3C36">
        <w:rPr>
          <w:rFonts w:ascii="Segoe UI" w:eastAsia="Times New Roman" w:hAnsi="Segoe UI" w:cs="Segoe UI"/>
          <w:color w:val="000000"/>
          <w:sz w:val="26"/>
          <w:szCs w:val="26"/>
        </w:rPr>
        <w:t>—</w:t>
      </w:r>
      <w:proofErr w:type="gramStart"/>
      <w:r w:rsidRPr="00AF3C36">
        <w:rPr>
          <w:rFonts w:ascii="Segoe UI" w:eastAsia="Times New Roman" w:hAnsi="Segoe UI" w:cs="Segoe UI"/>
          <w:color w:val="000000"/>
          <w:sz w:val="26"/>
          <w:szCs w:val="26"/>
        </w:rPr>
        <w:t>The</w:t>
      </w:r>
      <w:proofErr w:type="gramEnd"/>
      <w:r w:rsidRPr="00AF3C36">
        <w:rPr>
          <w:rFonts w:ascii="Segoe UI" w:eastAsia="Times New Roman" w:hAnsi="Segoe UI" w:cs="Segoe UI"/>
          <w:color w:val="000000"/>
          <w:sz w:val="26"/>
          <w:szCs w:val="26"/>
        </w:rPr>
        <w:t xml:space="preserve"> knowledge and skills of the public involved in the project can be enhanced, and their contributions can be recognized (possibly through financial rewards). These efforts foster goodwill and help lay the groundwork for subsequent collaborations.</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Academic partners</w:t>
      </w:r>
      <w:r w:rsidRPr="00AF3C36">
        <w:rPr>
          <w:rFonts w:ascii="Segoe UI" w:eastAsia="Times New Roman" w:hAnsi="Segoe UI" w:cs="Segoe UI"/>
          <w:color w:val="000000"/>
          <w:sz w:val="26"/>
          <w:szCs w:val="26"/>
        </w:rPr>
        <w:t>—Academic partners can gain enhanced understanding of the issue under study and appreciation of the role and value of community involvement, which sometimes result in direct career benefits. In addition, new insights into the relevance of a project and the various benefits to be gained from it can result in increased opportunities to disseminate its findings and their wider use.</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Individual research participants</w:t>
      </w:r>
      <w:r w:rsidRPr="00AF3C36">
        <w:rPr>
          <w:rFonts w:ascii="Segoe UI" w:eastAsia="Times New Roman" w:hAnsi="Segoe UI" w:cs="Segoe UI"/>
          <w:color w:val="000000"/>
          <w:sz w:val="26"/>
          <w:szCs w:val="26"/>
        </w:rPr>
        <w:t>—Improvements in the way studies are carried out can make it easier to participate in them and bring benefits to participants.</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Community organizations</w:t>
      </w:r>
      <w:r w:rsidRPr="00AF3C36">
        <w:rPr>
          <w:rFonts w:ascii="Segoe UI" w:eastAsia="Times New Roman" w:hAnsi="Segoe UI" w:cs="Segoe UI"/>
          <w:color w:val="000000"/>
          <w:sz w:val="26"/>
          <w:szCs w:val="26"/>
        </w:rPr>
        <w:t>—</w:t>
      </w:r>
      <w:proofErr w:type="gramStart"/>
      <w:r w:rsidRPr="00AF3C36">
        <w:rPr>
          <w:rFonts w:ascii="Segoe UI" w:eastAsia="Times New Roman" w:hAnsi="Segoe UI" w:cs="Segoe UI"/>
          <w:color w:val="000000"/>
          <w:sz w:val="26"/>
          <w:szCs w:val="26"/>
        </w:rPr>
        <w:t>These</w:t>
      </w:r>
      <w:proofErr w:type="gramEnd"/>
      <w:r w:rsidRPr="00AF3C36">
        <w:rPr>
          <w:rFonts w:ascii="Segoe UI" w:eastAsia="Times New Roman" w:hAnsi="Segoe UI" w:cs="Segoe UI"/>
          <w:color w:val="000000"/>
          <w:sz w:val="26"/>
          <w:szCs w:val="26"/>
        </w:rPr>
        <w:t xml:space="preserve"> organizations can gain enhanced knowledge, a higher profile in the community, more linkages with other community members and entities, and new organizational capacity. These benefits can create goodwill and help lay the groundwork for subsequent collaborations.</w:t>
      </w:r>
    </w:p>
    <w:p w:rsidR="00AF3C36" w:rsidRPr="00AF3C36" w:rsidRDefault="00AF3C36" w:rsidP="00AF3C36">
      <w:pPr>
        <w:numPr>
          <w:ilvl w:val="0"/>
          <w:numId w:val="1"/>
        </w:numPr>
        <w:shd w:val="clear" w:color="auto" w:fill="FFFFFF"/>
        <w:spacing w:before="100" w:beforeAutospacing="1" w:after="100" w:afterAutospacing="1" w:line="240" w:lineRule="auto"/>
        <w:ind w:left="270"/>
        <w:rPr>
          <w:rFonts w:ascii="Segoe UI" w:eastAsia="Times New Roman" w:hAnsi="Segoe UI" w:cs="Segoe UI"/>
          <w:color w:val="000000"/>
          <w:sz w:val="26"/>
          <w:szCs w:val="26"/>
        </w:rPr>
      </w:pPr>
      <w:r w:rsidRPr="00AF3C36">
        <w:rPr>
          <w:rFonts w:ascii="Segoe UI" w:eastAsia="Times New Roman" w:hAnsi="Segoe UI" w:cs="Segoe UI"/>
          <w:b/>
          <w:bCs/>
          <w:color w:val="000000"/>
          <w:sz w:val="26"/>
          <w:szCs w:val="26"/>
        </w:rPr>
        <w:t>The general public</w:t>
      </w:r>
      <w:r w:rsidRPr="00AF3C36">
        <w:rPr>
          <w:rFonts w:ascii="Segoe UI" w:eastAsia="Times New Roman" w:hAnsi="Segoe UI" w:cs="Segoe UI"/>
          <w:color w:val="000000"/>
          <w:sz w:val="26"/>
          <w:szCs w:val="26"/>
        </w:rPr>
        <w:t>—</w:t>
      </w:r>
      <w:proofErr w:type="gramStart"/>
      <w:r w:rsidRPr="00AF3C36">
        <w:rPr>
          <w:rFonts w:ascii="Segoe UI" w:eastAsia="Times New Roman" w:hAnsi="Segoe UI" w:cs="Segoe UI"/>
          <w:color w:val="000000"/>
          <w:sz w:val="26"/>
          <w:szCs w:val="26"/>
        </w:rPr>
        <w:t>The</w:t>
      </w:r>
      <w:proofErr w:type="gramEnd"/>
      <w:r w:rsidRPr="00AF3C36">
        <w:rPr>
          <w:rFonts w:ascii="Segoe UI" w:eastAsia="Times New Roman" w:hAnsi="Segoe UI" w:cs="Segoe UI"/>
          <w:color w:val="000000"/>
          <w:sz w:val="26"/>
          <w:szCs w:val="26"/>
        </w:rPr>
        <w:t xml:space="preserve"> general public is likely to be more receptive to the research and reap greater benefits from it.</w:t>
      </w:r>
    </w:p>
    <w:p w:rsidR="009274C6" w:rsidRPr="00AF3C36" w:rsidRDefault="00AF3C36" w:rsidP="00AF3C36">
      <w:pPr>
        <w:shd w:val="clear" w:color="auto" w:fill="FFFFFF"/>
        <w:spacing w:after="100" w:afterAutospacing="1" w:line="240" w:lineRule="auto"/>
        <w:rPr>
          <w:rFonts w:ascii="Segoe UI" w:eastAsia="Times New Roman" w:hAnsi="Segoe UI" w:cs="Segoe UI"/>
          <w:color w:val="000000"/>
          <w:sz w:val="26"/>
          <w:szCs w:val="26"/>
        </w:rPr>
      </w:pPr>
      <w:r w:rsidRPr="00AF3C36">
        <w:rPr>
          <w:rFonts w:ascii="Segoe UI" w:eastAsia="Times New Roman" w:hAnsi="Segoe UI" w:cs="Segoe UI"/>
          <w:color w:val="000000"/>
          <w:sz w:val="26"/>
          <w:szCs w:val="26"/>
        </w:rPr>
        <w:t>The author of the review acknowledged that there can be costs associated with community engagement (e.g., increased time and other resource needs, the need to develop new skill sets, increased expectations) but contended that these are more than outweighed by the positive impacts and generally can be addressed over time through trainin</w:t>
      </w:r>
      <w:r>
        <w:rPr>
          <w:rFonts w:ascii="Segoe UI" w:eastAsia="Times New Roman" w:hAnsi="Segoe UI" w:cs="Segoe UI"/>
          <w:color w:val="000000"/>
          <w:sz w:val="26"/>
          <w:szCs w:val="26"/>
        </w:rPr>
        <w:t>g and experience (Staley, 2009)</w:t>
      </w:r>
      <w:bookmarkStart w:id="1" w:name="_GoBack"/>
      <w:bookmarkEnd w:id="1"/>
    </w:p>
    <w:sectPr w:rsidR="009274C6" w:rsidRPr="00AF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1205"/>
    <w:multiLevelType w:val="multilevel"/>
    <w:tmpl w:val="F956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75"/>
    <w:rsid w:val="009274C6"/>
    <w:rsid w:val="00AF3C36"/>
    <w:rsid w:val="00B2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7741">
      <w:bodyDiv w:val="1"/>
      <w:marLeft w:val="0"/>
      <w:marRight w:val="0"/>
      <w:marTop w:val="0"/>
      <w:marBottom w:val="0"/>
      <w:divBdr>
        <w:top w:val="none" w:sz="0" w:space="0" w:color="auto"/>
        <w:left w:val="none" w:sz="0" w:space="0" w:color="auto"/>
        <w:bottom w:val="none" w:sz="0" w:space="0" w:color="auto"/>
        <w:right w:val="none" w:sz="0" w:space="0" w:color="auto"/>
      </w:divBdr>
      <w:divsChild>
        <w:div w:id="2055157014">
          <w:marLeft w:val="-225"/>
          <w:marRight w:val="-225"/>
          <w:marTop w:val="0"/>
          <w:marBottom w:val="0"/>
          <w:divBdr>
            <w:top w:val="none" w:sz="0" w:space="0" w:color="auto"/>
            <w:left w:val="none" w:sz="0" w:space="0" w:color="auto"/>
            <w:bottom w:val="none" w:sz="0" w:space="0" w:color="auto"/>
            <w:right w:val="none" w:sz="0" w:space="0" w:color="auto"/>
          </w:divBdr>
          <w:divsChild>
            <w:div w:id="1804035282">
              <w:marLeft w:val="0"/>
              <w:marRight w:val="0"/>
              <w:marTop w:val="0"/>
              <w:marBottom w:val="0"/>
              <w:divBdr>
                <w:top w:val="none" w:sz="0" w:space="0" w:color="auto"/>
                <w:left w:val="none" w:sz="0" w:space="0" w:color="auto"/>
                <w:bottom w:val="none" w:sz="0" w:space="0" w:color="auto"/>
                <w:right w:val="none" w:sz="0" w:space="0" w:color="auto"/>
              </w:divBdr>
              <w:divsChild>
                <w:div w:id="1859274179">
                  <w:marLeft w:val="0"/>
                  <w:marRight w:val="0"/>
                  <w:marTop w:val="0"/>
                  <w:marBottom w:val="0"/>
                  <w:divBdr>
                    <w:top w:val="none" w:sz="0" w:space="0" w:color="auto"/>
                    <w:left w:val="none" w:sz="0" w:space="0" w:color="auto"/>
                    <w:bottom w:val="none" w:sz="0" w:space="0" w:color="auto"/>
                    <w:right w:val="none" w:sz="0" w:space="0" w:color="auto"/>
                  </w:divBdr>
                  <w:divsChild>
                    <w:div w:id="532883324">
                      <w:marLeft w:val="-225"/>
                      <w:marRight w:val="-225"/>
                      <w:marTop w:val="0"/>
                      <w:marBottom w:val="0"/>
                      <w:divBdr>
                        <w:top w:val="none" w:sz="0" w:space="0" w:color="auto"/>
                        <w:left w:val="none" w:sz="0" w:space="0" w:color="auto"/>
                        <w:bottom w:val="none" w:sz="0" w:space="0" w:color="auto"/>
                        <w:right w:val="none" w:sz="0" w:space="0" w:color="auto"/>
                      </w:divBdr>
                      <w:divsChild>
                        <w:div w:id="594440377">
                          <w:marLeft w:val="0"/>
                          <w:marRight w:val="0"/>
                          <w:marTop w:val="0"/>
                          <w:marBottom w:val="0"/>
                          <w:divBdr>
                            <w:top w:val="none" w:sz="0" w:space="0" w:color="auto"/>
                            <w:left w:val="none" w:sz="0" w:space="0" w:color="auto"/>
                            <w:bottom w:val="none" w:sz="0" w:space="0" w:color="auto"/>
                            <w:right w:val="none" w:sz="0" w:space="0" w:color="auto"/>
                          </w:divBdr>
                        </w:div>
                        <w:div w:id="316306167">
                          <w:marLeft w:val="0"/>
                          <w:marRight w:val="0"/>
                          <w:marTop w:val="0"/>
                          <w:marBottom w:val="0"/>
                          <w:divBdr>
                            <w:top w:val="none" w:sz="0" w:space="0" w:color="auto"/>
                            <w:left w:val="none" w:sz="0" w:space="0" w:color="auto"/>
                            <w:bottom w:val="none" w:sz="0" w:space="0" w:color="auto"/>
                            <w:right w:val="none" w:sz="0" w:space="0" w:color="auto"/>
                          </w:divBdr>
                          <w:divsChild>
                            <w:div w:id="506873001">
                              <w:marLeft w:val="0"/>
                              <w:marRight w:val="0"/>
                              <w:marTop w:val="0"/>
                              <w:marBottom w:val="0"/>
                              <w:divBdr>
                                <w:top w:val="single" w:sz="6" w:space="0" w:color="E0E0E0"/>
                                <w:left w:val="single" w:sz="6" w:space="0" w:color="E0E0E0"/>
                                <w:bottom w:val="single" w:sz="6" w:space="0" w:color="E0E0E0"/>
                                <w:right w:val="single" w:sz="6" w:space="0" w:color="E0E0E0"/>
                              </w:divBdr>
                              <w:divsChild>
                                <w:div w:id="428550503">
                                  <w:marLeft w:val="0"/>
                                  <w:marRight w:val="0"/>
                                  <w:marTop w:val="0"/>
                                  <w:marBottom w:val="0"/>
                                  <w:divBdr>
                                    <w:top w:val="none" w:sz="0" w:space="0" w:color="auto"/>
                                    <w:left w:val="none" w:sz="0" w:space="0" w:color="auto"/>
                                    <w:bottom w:val="none" w:sz="0" w:space="0" w:color="auto"/>
                                    <w:right w:val="none" w:sz="0" w:space="0" w:color="auto"/>
                                  </w:divBdr>
                                </w:div>
                                <w:div w:id="19549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637">
                      <w:marLeft w:val="-225"/>
                      <w:marRight w:val="-225"/>
                      <w:marTop w:val="0"/>
                      <w:marBottom w:val="0"/>
                      <w:divBdr>
                        <w:top w:val="none" w:sz="0" w:space="0" w:color="auto"/>
                        <w:left w:val="none" w:sz="0" w:space="0" w:color="auto"/>
                        <w:bottom w:val="none" w:sz="0" w:space="0" w:color="auto"/>
                        <w:right w:val="none" w:sz="0" w:space="0" w:color="auto"/>
                      </w:divBdr>
                      <w:divsChild>
                        <w:div w:id="455225214">
                          <w:marLeft w:val="0"/>
                          <w:marRight w:val="0"/>
                          <w:marTop w:val="0"/>
                          <w:marBottom w:val="0"/>
                          <w:divBdr>
                            <w:top w:val="none" w:sz="0" w:space="0" w:color="auto"/>
                            <w:left w:val="none" w:sz="0" w:space="0" w:color="auto"/>
                            <w:bottom w:val="none" w:sz="0" w:space="0" w:color="auto"/>
                            <w:right w:val="none" w:sz="0" w:space="0" w:color="auto"/>
                          </w:divBdr>
                          <w:divsChild>
                            <w:div w:id="1704135324">
                              <w:marLeft w:val="0"/>
                              <w:marRight w:val="0"/>
                              <w:marTop w:val="0"/>
                              <w:marBottom w:val="0"/>
                              <w:divBdr>
                                <w:top w:val="none" w:sz="0" w:space="0" w:color="E0E0E0"/>
                                <w:left w:val="none" w:sz="0" w:space="0" w:color="E0E0E0"/>
                                <w:bottom w:val="none" w:sz="0" w:space="0" w:color="E0E0E0"/>
                                <w:right w:val="none" w:sz="0" w:space="0" w:color="E0E0E0"/>
                              </w:divBdr>
                              <w:divsChild>
                                <w:div w:id="15034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8642">
                      <w:marLeft w:val="-225"/>
                      <w:marRight w:val="-225"/>
                      <w:marTop w:val="0"/>
                      <w:marBottom w:val="0"/>
                      <w:divBdr>
                        <w:top w:val="none" w:sz="0" w:space="0" w:color="auto"/>
                        <w:left w:val="none" w:sz="0" w:space="0" w:color="auto"/>
                        <w:bottom w:val="none" w:sz="0" w:space="0" w:color="auto"/>
                        <w:right w:val="none" w:sz="0" w:space="0" w:color="auto"/>
                      </w:divBdr>
                      <w:divsChild>
                        <w:div w:id="1623532770">
                          <w:marLeft w:val="0"/>
                          <w:marRight w:val="0"/>
                          <w:marTop w:val="0"/>
                          <w:marBottom w:val="0"/>
                          <w:divBdr>
                            <w:top w:val="none" w:sz="0" w:space="0" w:color="auto"/>
                            <w:left w:val="none" w:sz="0" w:space="0" w:color="auto"/>
                            <w:bottom w:val="none" w:sz="0" w:space="0" w:color="auto"/>
                            <w:right w:val="none" w:sz="0" w:space="0" w:color="auto"/>
                          </w:divBdr>
                          <w:divsChild>
                            <w:div w:id="426653839">
                              <w:marLeft w:val="0"/>
                              <w:marRight w:val="0"/>
                              <w:marTop w:val="0"/>
                              <w:marBottom w:val="0"/>
                              <w:divBdr>
                                <w:top w:val="none" w:sz="0" w:space="0" w:color="auto"/>
                                <w:left w:val="none" w:sz="0" w:space="0" w:color="auto"/>
                                <w:bottom w:val="none" w:sz="0" w:space="0" w:color="auto"/>
                                <w:right w:val="none" w:sz="0" w:space="0" w:color="auto"/>
                              </w:divBdr>
                            </w:div>
                            <w:div w:id="7643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atsdr.cdc.gov/communityengagement/images/figure1.1_l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naseem</dc:creator>
  <cp:keywords/>
  <dc:description/>
  <cp:lastModifiedBy>miss naseem</cp:lastModifiedBy>
  <cp:revision>2</cp:revision>
  <dcterms:created xsi:type="dcterms:W3CDTF">2020-05-08T06:46:00Z</dcterms:created>
  <dcterms:modified xsi:type="dcterms:W3CDTF">2020-05-08T06:47:00Z</dcterms:modified>
</cp:coreProperties>
</file>