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B5" w:rsidRPr="008410B5" w:rsidRDefault="008410B5" w:rsidP="008410B5">
      <w:pPr>
        <w:spacing w:after="0" w:line="270" w:lineRule="atLeast"/>
        <w:outlineLvl w:val="1"/>
        <w:rPr>
          <w:rFonts w:ascii="Times New Roman" w:eastAsia="Times New Roman" w:hAnsi="Times New Roman" w:cs="Times New Roman"/>
          <w:b/>
          <w:bCs/>
          <w:color w:val="332E20"/>
          <w:sz w:val="24"/>
          <w:szCs w:val="24"/>
          <w:u w:val="single"/>
        </w:rPr>
      </w:pPr>
      <w:r w:rsidRPr="008410B5">
        <w:rPr>
          <w:rFonts w:ascii="Times New Roman" w:eastAsia="Times New Roman" w:hAnsi="Times New Roman" w:cs="Times New Roman"/>
          <w:b/>
          <w:bCs/>
          <w:color w:val="332E20"/>
          <w:sz w:val="24"/>
          <w:szCs w:val="24"/>
          <w:u w:val="single"/>
        </w:rPr>
        <w:t xml:space="preserve">POWDERS AND GRANULES </w:t>
      </w:r>
    </w:p>
    <w:p w:rsidR="008410B5" w:rsidRPr="008410B5" w:rsidRDefault="008410B5" w:rsidP="008410B5">
      <w:pPr>
        <w:spacing w:after="0" w:line="270" w:lineRule="atLeast"/>
        <w:outlineLvl w:val="1"/>
        <w:rPr>
          <w:rFonts w:ascii="Helvetica" w:eastAsia="Times New Roman" w:hAnsi="Helvetica" w:cs="Helvetica"/>
          <w:b/>
          <w:bCs/>
          <w:color w:val="332E20"/>
          <w:sz w:val="21"/>
          <w:szCs w:val="21"/>
          <w:u w:val="single"/>
        </w:rPr>
      </w:pPr>
      <w:bookmarkStart w:id="0" w:name="_GoBack"/>
      <w:bookmarkEnd w:id="0"/>
    </w:p>
    <w:p w:rsidR="008410B5" w:rsidRDefault="008410B5" w:rsidP="008410B5">
      <w:pPr>
        <w:spacing w:after="0" w:line="270" w:lineRule="atLeast"/>
        <w:outlineLvl w:val="1"/>
        <w:rPr>
          <w:rFonts w:ascii="Helvetica" w:eastAsia="Times New Roman" w:hAnsi="Helvetica" w:cs="Helvetica"/>
          <w:b/>
          <w:bCs/>
          <w:color w:val="332E20"/>
          <w:sz w:val="21"/>
          <w:szCs w:val="21"/>
        </w:rPr>
      </w:pPr>
    </w:p>
    <w:p w:rsidR="008410B5" w:rsidRPr="008410B5" w:rsidRDefault="008410B5" w:rsidP="008410B5">
      <w:pPr>
        <w:spacing w:after="0" w:line="360" w:lineRule="auto"/>
        <w:jc w:val="both"/>
        <w:outlineLvl w:val="1"/>
        <w:rPr>
          <w:rFonts w:ascii="Times New Roman" w:eastAsia="Times New Roman" w:hAnsi="Times New Roman" w:cs="Times New Roman"/>
          <w:b/>
          <w:bCs/>
          <w:color w:val="332E20"/>
          <w:sz w:val="24"/>
          <w:szCs w:val="24"/>
        </w:rPr>
      </w:pPr>
      <w:r w:rsidRPr="008410B5">
        <w:rPr>
          <w:rFonts w:ascii="Times New Roman" w:eastAsia="Times New Roman" w:hAnsi="Times New Roman" w:cs="Times New Roman"/>
          <w:b/>
          <w:bCs/>
          <w:color w:val="332E20"/>
          <w:sz w:val="24"/>
          <w:szCs w:val="24"/>
        </w:rPr>
        <w:t>Learning Objectives</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 xml:space="preserve">Upon completion of this exercise, you should be able to: </w:t>
      </w:r>
    </w:p>
    <w:p w:rsidR="008410B5" w:rsidRPr="008410B5" w:rsidRDefault="008410B5" w:rsidP="008410B5">
      <w:pPr>
        <w:numPr>
          <w:ilvl w:val="0"/>
          <w:numId w:val="1"/>
        </w:numPr>
        <w:spacing w:before="100" w:beforeAutospacing="1" w:after="100" w:afterAutospacing="1" w:line="360" w:lineRule="auto"/>
        <w:ind w:left="1020"/>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List and describe a variety of types of powders and granules.</w:t>
      </w:r>
    </w:p>
    <w:p w:rsidR="008410B5" w:rsidRPr="008410B5" w:rsidRDefault="008410B5" w:rsidP="008410B5">
      <w:pPr>
        <w:numPr>
          <w:ilvl w:val="0"/>
          <w:numId w:val="1"/>
        </w:numPr>
        <w:spacing w:before="100" w:beforeAutospacing="1" w:after="100" w:afterAutospacing="1" w:line="360" w:lineRule="auto"/>
        <w:ind w:left="1020"/>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Describe appropriate uses of pharmaceutical powders and granules.</w:t>
      </w:r>
    </w:p>
    <w:p w:rsidR="008410B5" w:rsidRDefault="008410B5" w:rsidP="008410B5">
      <w:pPr>
        <w:numPr>
          <w:ilvl w:val="0"/>
          <w:numId w:val="1"/>
        </w:numPr>
        <w:spacing w:before="100" w:beforeAutospacing="1" w:after="100" w:afterAutospacing="1" w:line="360" w:lineRule="auto"/>
        <w:ind w:left="1020"/>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Compound and dispense divided and bulk powders and granule preparations.</w:t>
      </w:r>
    </w:p>
    <w:p w:rsidR="008410B5" w:rsidRPr="008410B5" w:rsidRDefault="008410B5" w:rsidP="008410B5">
      <w:pPr>
        <w:spacing w:after="0" w:line="360" w:lineRule="auto"/>
        <w:jc w:val="both"/>
        <w:outlineLvl w:val="1"/>
        <w:rPr>
          <w:rFonts w:ascii="Times New Roman" w:eastAsia="Times New Roman" w:hAnsi="Times New Roman" w:cs="Times New Roman"/>
          <w:b/>
          <w:bCs/>
          <w:color w:val="332E20"/>
          <w:sz w:val="24"/>
          <w:szCs w:val="24"/>
        </w:rPr>
      </w:pPr>
      <w:r w:rsidRPr="008410B5">
        <w:rPr>
          <w:rFonts w:ascii="Times New Roman" w:eastAsia="Times New Roman" w:hAnsi="Times New Roman" w:cs="Times New Roman"/>
          <w:b/>
          <w:bCs/>
          <w:color w:val="332E20"/>
          <w:sz w:val="24"/>
          <w:szCs w:val="24"/>
        </w:rPr>
        <w:t>Properties of Powders</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The word "powder" refers to a chemical or mixture that is solid in physical state. In compounding, "powder" refers to a dosage formulation that is solid in physical state. But the formulation may be composed of only the active drug or may be a mixture of the active drug and other ingredients.</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Powders offer some unique advantages:</w:t>
      </w:r>
    </w:p>
    <w:p w:rsidR="008410B5" w:rsidRPr="008410B5" w:rsidRDefault="008410B5" w:rsidP="008410B5">
      <w:pPr>
        <w:numPr>
          <w:ilvl w:val="0"/>
          <w:numId w:val="2"/>
        </w:numPr>
        <w:spacing w:before="100" w:beforeAutospacing="1" w:after="100" w:afterAutospacing="1" w:line="360" w:lineRule="auto"/>
        <w:ind w:left="1020"/>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each dose can contain a different amount of active drug</w:t>
      </w:r>
    </w:p>
    <w:p w:rsidR="008410B5" w:rsidRPr="008410B5" w:rsidRDefault="008410B5" w:rsidP="008410B5">
      <w:pPr>
        <w:numPr>
          <w:ilvl w:val="0"/>
          <w:numId w:val="2"/>
        </w:numPr>
        <w:spacing w:before="100" w:beforeAutospacing="1" w:after="100" w:afterAutospacing="1" w:line="360" w:lineRule="auto"/>
        <w:ind w:left="1020"/>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can be administered easily to infants and young children who cannot swallow tablets or capsules</w:t>
      </w:r>
    </w:p>
    <w:p w:rsidR="008410B5" w:rsidRPr="008410B5" w:rsidRDefault="008410B5" w:rsidP="008410B5">
      <w:pPr>
        <w:numPr>
          <w:ilvl w:val="0"/>
          <w:numId w:val="2"/>
        </w:numPr>
        <w:spacing w:before="100" w:beforeAutospacing="1" w:after="100" w:afterAutospacing="1" w:line="360" w:lineRule="auto"/>
        <w:ind w:left="1020"/>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drug will have a rapid onset of action since disintegration is not required</w:t>
      </w:r>
    </w:p>
    <w:p w:rsidR="008410B5" w:rsidRPr="008410B5" w:rsidRDefault="008410B5" w:rsidP="008410B5">
      <w:pPr>
        <w:numPr>
          <w:ilvl w:val="0"/>
          <w:numId w:val="2"/>
        </w:numPr>
        <w:spacing w:before="100" w:beforeAutospacing="1" w:after="100" w:afterAutospacing="1" w:line="360" w:lineRule="auto"/>
        <w:ind w:left="1020"/>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can be applied to many body cavities such as ears, nose, tooth socket, throat</w:t>
      </w:r>
    </w:p>
    <w:p w:rsidR="008410B5" w:rsidRPr="008410B5" w:rsidRDefault="008410B5" w:rsidP="008410B5">
      <w:pPr>
        <w:numPr>
          <w:ilvl w:val="0"/>
          <w:numId w:val="2"/>
        </w:numPr>
        <w:spacing w:before="100" w:beforeAutospacing="1" w:after="100" w:afterAutospacing="1" w:line="360" w:lineRule="auto"/>
        <w:ind w:left="1020"/>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drugs tend to most stable as a solid</w:t>
      </w:r>
    </w:p>
    <w:p w:rsidR="008410B5" w:rsidRPr="008410B5" w:rsidRDefault="008410B5" w:rsidP="008410B5">
      <w:pPr>
        <w:numPr>
          <w:ilvl w:val="0"/>
          <w:numId w:val="2"/>
        </w:numPr>
        <w:spacing w:before="100" w:beforeAutospacing="1" w:after="100" w:afterAutospacing="1" w:line="360" w:lineRule="auto"/>
        <w:ind w:left="1020"/>
        <w:jc w:val="both"/>
        <w:rPr>
          <w:rFonts w:ascii="Times New Roman" w:eastAsia="Times New Roman" w:hAnsi="Times New Roman" w:cs="Times New Roman"/>
          <w:color w:val="332E20"/>
          <w:sz w:val="24"/>
          <w:szCs w:val="24"/>
        </w:rPr>
      </w:pPr>
      <w:proofErr w:type="gramStart"/>
      <w:r w:rsidRPr="008410B5">
        <w:rPr>
          <w:rFonts w:ascii="Times New Roman" w:eastAsia="Times New Roman" w:hAnsi="Times New Roman" w:cs="Times New Roman"/>
          <w:color w:val="332E20"/>
          <w:sz w:val="24"/>
          <w:szCs w:val="24"/>
        </w:rPr>
        <w:t>can</w:t>
      </w:r>
      <w:proofErr w:type="gramEnd"/>
      <w:r w:rsidRPr="008410B5">
        <w:rPr>
          <w:rFonts w:ascii="Times New Roman" w:eastAsia="Times New Roman" w:hAnsi="Times New Roman" w:cs="Times New Roman"/>
          <w:color w:val="332E20"/>
          <w:sz w:val="24"/>
          <w:szCs w:val="24"/>
        </w:rPr>
        <w:t xml:space="preserve"> be made into many different dosage formulations (capsules, tablets, powders for reconstitution, dusting powders, bulk powders, powders for inhalation, etc.)</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 xml:space="preserve">Pharmaceutical powders are formulated to be </w:t>
      </w:r>
      <w:proofErr w:type="gramStart"/>
      <w:r w:rsidRPr="008410B5">
        <w:rPr>
          <w:rFonts w:ascii="Times New Roman" w:eastAsia="Times New Roman" w:hAnsi="Times New Roman" w:cs="Times New Roman"/>
          <w:color w:val="332E20"/>
          <w:sz w:val="24"/>
          <w:szCs w:val="24"/>
        </w:rPr>
        <w:t>exist</w:t>
      </w:r>
      <w:proofErr w:type="gramEnd"/>
      <w:r w:rsidRPr="008410B5">
        <w:rPr>
          <w:rFonts w:ascii="Times New Roman" w:eastAsia="Times New Roman" w:hAnsi="Times New Roman" w:cs="Times New Roman"/>
          <w:color w:val="332E20"/>
          <w:sz w:val="24"/>
          <w:szCs w:val="24"/>
        </w:rPr>
        <w:t xml:space="preserve"> as fine particles. The powders are then smooth to the touch and nonirritating to the skin. Powders generally range from 0.1 to 10 micron in size. The </w:t>
      </w:r>
      <w:proofErr w:type="gramStart"/>
      <w:r w:rsidRPr="008410B5">
        <w:rPr>
          <w:rFonts w:ascii="Times New Roman" w:eastAsia="Times New Roman" w:hAnsi="Times New Roman" w:cs="Times New Roman"/>
          <w:color w:val="332E20"/>
          <w:sz w:val="24"/>
          <w:szCs w:val="24"/>
        </w:rPr>
        <w:t>size of the particles are</w:t>
      </w:r>
      <w:proofErr w:type="gramEnd"/>
      <w:r w:rsidRPr="008410B5">
        <w:rPr>
          <w:rFonts w:ascii="Times New Roman" w:eastAsia="Times New Roman" w:hAnsi="Times New Roman" w:cs="Times New Roman"/>
          <w:color w:val="332E20"/>
          <w:sz w:val="24"/>
          <w:szCs w:val="24"/>
        </w:rPr>
        <w:t xml:space="preserve"> often expressed as a number which corresponds to the mesh screen size of a sieve. The screen size indicates the number of openings in the mesh screen per </w:t>
      </w:r>
      <w:r w:rsidRPr="008410B5">
        <w:rPr>
          <w:rFonts w:ascii="Times New Roman" w:eastAsia="Times New Roman" w:hAnsi="Times New Roman" w:cs="Times New Roman"/>
          <w:color w:val="332E20"/>
          <w:sz w:val="24"/>
          <w:szCs w:val="24"/>
        </w:rPr>
        <w:lastRenderedPageBreak/>
        <w:t>inch. For example, a # 40 sieve has 40 openings per inch in the screen mesh. Particles that can sift through that mesh are said to be "40 mesh" size.</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 xml:space="preserve">Below is a list of mesh sizes and the size of the mesh opening in millimeters (1/1000 of a meter) or microns (1/1,000,000) of a meter. Of </w:t>
      </w:r>
      <w:proofErr w:type="spellStart"/>
      <w:r w:rsidRPr="008410B5">
        <w:rPr>
          <w:rFonts w:ascii="Times New Roman" w:eastAsia="Times New Roman" w:hAnsi="Times New Roman" w:cs="Times New Roman"/>
          <w:color w:val="332E20"/>
          <w:sz w:val="24"/>
          <w:szCs w:val="24"/>
        </w:rPr>
        <w:t>coarse</w:t>
      </w:r>
      <w:proofErr w:type="spellEnd"/>
      <w:r w:rsidRPr="008410B5">
        <w:rPr>
          <w:rFonts w:ascii="Times New Roman" w:eastAsia="Times New Roman" w:hAnsi="Times New Roman" w:cs="Times New Roman"/>
          <w:color w:val="332E20"/>
          <w:sz w:val="24"/>
          <w:szCs w:val="24"/>
        </w:rPr>
        <w:t xml:space="preserve"> there is a correlation between the size of the mesh opening and the particle size of the sifted powder. As the opening becomes smaller, so will be resulting particle size. Most of the particles of a sifted powder will have approximate</w:t>
      </w:r>
      <w:r>
        <w:rPr>
          <w:rFonts w:ascii="Times New Roman" w:eastAsia="Times New Roman" w:hAnsi="Times New Roman" w:cs="Times New Roman"/>
          <w:color w:val="332E20"/>
          <w:sz w:val="24"/>
          <w:szCs w:val="24"/>
        </w:rPr>
        <w:t>ly the size as the mesh opening.</w:t>
      </w:r>
    </w:p>
    <w:tbl>
      <w:tblPr>
        <w:tblW w:w="4500" w:type="pct"/>
        <w:jc w:val="center"/>
        <w:tblCellSpacing w:w="0" w:type="dxa"/>
        <w:tblBorders>
          <w:top w:val="single" w:sz="6" w:space="0" w:color="EDEDED"/>
          <w:left w:val="single" w:sz="6" w:space="0" w:color="EDEDED"/>
          <w:bottom w:val="single" w:sz="6" w:space="0" w:color="EDEDED"/>
          <w:right w:val="single" w:sz="6" w:space="0" w:color="EDEDED"/>
        </w:tblBorders>
        <w:tblCellMar>
          <w:left w:w="0" w:type="dxa"/>
          <w:right w:w="0" w:type="dxa"/>
        </w:tblCellMar>
        <w:tblLook w:val="04A0" w:firstRow="1" w:lastRow="0" w:firstColumn="1" w:lastColumn="0" w:noHBand="0" w:noVBand="1"/>
      </w:tblPr>
      <w:tblGrid>
        <w:gridCol w:w="2754"/>
        <w:gridCol w:w="2986"/>
        <w:gridCol w:w="2792"/>
      </w:tblGrid>
      <w:tr w:rsidR="008410B5" w:rsidRPr="008410B5" w:rsidTr="008410B5">
        <w:trPr>
          <w:trHeight w:val="330"/>
          <w:tblCellSpacing w:w="0" w:type="dxa"/>
          <w:jc w:val="center"/>
        </w:trPr>
        <w:tc>
          <w:tcPr>
            <w:tcW w:w="1500" w:type="dxa"/>
            <w:tcBorders>
              <w:top w:val="single" w:sz="6" w:space="0" w:color="EDEDED"/>
              <w:left w:val="single" w:sz="6" w:space="0" w:color="EDEDED"/>
              <w:bottom w:val="single" w:sz="6" w:space="0" w:color="EDEDED"/>
              <w:right w:val="single" w:sz="6" w:space="0" w:color="EDEDED"/>
            </w:tcBorders>
            <w:tcMar>
              <w:top w:w="45" w:type="dxa"/>
              <w:left w:w="45" w:type="dxa"/>
              <w:bottom w:w="45" w:type="dxa"/>
              <w:right w:w="45" w:type="dxa"/>
            </w:tcMar>
            <w:vAlign w:val="center"/>
            <w:hideMark/>
          </w:tcPr>
          <w:p w:rsidR="008410B5" w:rsidRPr="008410B5" w:rsidRDefault="008410B5" w:rsidP="008410B5">
            <w:pPr>
              <w:spacing w:after="0" w:line="270" w:lineRule="atLeast"/>
              <w:jc w:val="center"/>
              <w:rPr>
                <w:rFonts w:ascii="Verdana" w:eastAsia="Times New Roman" w:hAnsi="Verdana" w:cs="Times New Roman"/>
                <w:b/>
                <w:bCs/>
                <w:color w:val="5393C3"/>
                <w:sz w:val="24"/>
                <w:szCs w:val="24"/>
              </w:rPr>
            </w:pPr>
            <w:r w:rsidRPr="008410B5">
              <w:rPr>
                <w:rFonts w:ascii="Verdana" w:eastAsia="Times New Roman" w:hAnsi="Verdana" w:cs="Times New Roman"/>
                <w:b/>
                <w:bCs/>
                <w:color w:val="5393C3"/>
                <w:sz w:val="24"/>
                <w:szCs w:val="24"/>
              </w:rPr>
              <w:t> </w:t>
            </w:r>
          </w:p>
        </w:tc>
        <w:tc>
          <w:tcPr>
            <w:tcW w:w="1500" w:type="dxa"/>
            <w:gridSpan w:val="2"/>
            <w:tcBorders>
              <w:top w:val="single" w:sz="6" w:space="0" w:color="EDEDED"/>
              <w:left w:val="single" w:sz="6" w:space="0" w:color="EDEDED"/>
              <w:bottom w:val="single" w:sz="6" w:space="0" w:color="EDEDED"/>
              <w:right w:val="single" w:sz="6" w:space="0" w:color="EDEDED"/>
            </w:tcBorders>
            <w:tcMar>
              <w:top w:w="45" w:type="dxa"/>
              <w:left w:w="45" w:type="dxa"/>
              <w:bottom w:w="45" w:type="dxa"/>
              <w:right w:w="45" w:type="dxa"/>
            </w:tcMar>
            <w:vAlign w:val="center"/>
            <w:hideMark/>
          </w:tcPr>
          <w:p w:rsidR="008410B5" w:rsidRPr="008410B5" w:rsidRDefault="008410B5" w:rsidP="008410B5">
            <w:pPr>
              <w:spacing w:after="0" w:line="270" w:lineRule="atLeast"/>
              <w:jc w:val="center"/>
              <w:rPr>
                <w:rFonts w:ascii="Verdana" w:eastAsia="Times New Roman" w:hAnsi="Verdana" w:cs="Times New Roman"/>
                <w:b/>
                <w:bCs/>
                <w:color w:val="5393C3"/>
                <w:sz w:val="24"/>
                <w:szCs w:val="24"/>
              </w:rPr>
            </w:pPr>
            <w:r w:rsidRPr="008410B5">
              <w:rPr>
                <w:rFonts w:ascii="Verdana" w:eastAsia="Times New Roman" w:hAnsi="Verdana" w:cs="Times New Roman"/>
                <w:b/>
                <w:bCs/>
                <w:color w:val="5393C3"/>
                <w:sz w:val="24"/>
                <w:szCs w:val="24"/>
              </w:rPr>
              <w:t xml:space="preserve">Mesh Opening Size </w:t>
            </w:r>
          </w:p>
        </w:tc>
      </w:tr>
      <w:tr w:rsidR="008410B5" w:rsidRPr="008410B5" w:rsidTr="008410B5">
        <w:trPr>
          <w:tblCellSpacing w:w="0" w:type="dxa"/>
          <w:jc w:val="center"/>
        </w:trPr>
        <w:tc>
          <w:tcPr>
            <w:tcW w:w="1500" w:type="dxa"/>
            <w:tcBorders>
              <w:top w:val="single" w:sz="6" w:space="0" w:color="EDEDED"/>
              <w:left w:val="single" w:sz="6" w:space="0" w:color="EDEDED"/>
              <w:bottom w:val="single" w:sz="6" w:space="0" w:color="EDEDED"/>
              <w:right w:val="single" w:sz="6" w:space="0" w:color="EDEDED"/>
            </w:tcBorders>
            <w:tcMar>
              <w:top w:w="45" w:type="dxa"/>
              <w:left w:w="45" w:type="dxa"/>
              <w:bottom w:w="45" w:type="dxa"/>
              <w:right w:w="45" w:type="dxa"/>
            </w:tcMar>
            <w:vAlign w:val="center"/>
            <w:hideMark/>
          </w:tcPr>
          <w:p w:rsidR="008410B5" w:rsidRPr="008410B5" w:rsidRDefault="008410B5" w:rsidP="008410B5">
            <w:pPr>
              <w:spacing w:after="0" w:line="270" w:lineRule="atLeast"/>
              <w:jc w:val="center"/>
              <w:rPr>
                <w:rFonts w:ascii="Verdana" w:eastAsia="Times New Roman" w:hAnsi="Verdana" w:cs="Times New Roman"/>
                <w:b/>
                <w:bCs/>
                <w:color w:val="5393C3"/>
                <w:sz w:val="24"/>
                <w:szCs w:val="24"/>
              </w:rPr>
            </w:pPr>
            <w:r w:rsidRPr="008410B5">
              <w:rPr>
                <w:rFonts w:ascii="Verdana" w:eastAsia="Times New Roman" w:hAnsi="Verdana" w:cs="Times New Roman"/>
                <w:b/>
                <w:bCs/>
                <w:color w:val="5393C3"/>
                <w:sz w:val="24"/>
                <w:szCs w:val="24"/>
              </w:rPr>
              <w:t>Mesh Size Number</w:t>
            </w:r>
          </w:p>
        </w:tc>
        <w:tc>
          <w:tcPr>
            <w:tcW w:w="1500" w:type="dxa"/>
            <w:tcBorders>
              <w:top w:val="single" w:sz="6" w:space="0" w:color="EDEDED"/>
              <w:left w:val="single" w:sz="6" w:space="0" w:color="EDEDED"/>
              <w:bottom w:val="single" w:sz="6" w:space="0" w:color="EDEDED"/>
              <w:right w:val="single" w:sz="6" w:space="0" w:color="EDEDED"/>
            </w:tcBorders>
            <w:tcMar>
              <w:top w:w="45" w:type="dxa"/>
              <w:left w:w="45" w:type="dxa"/>
              <w:bottom w:w="45" w:type="dxa"/>
              <w:right w:w="45" w:type="dxa"/>
            </w:tcMar>
            <w:vAlign w:val="center"/>
            <w:hideMark/>
          </w:tcPr>
          <w:p w:rsidR="008410B5" w:rsidRPr="008410B5" w:rsidRDefault="008410B5" w:rsidP="008410B5">
            <w:pPr>
              <w:spacing w:after="0" w:line="270" w:lineRule="atLeast"/>
              <w:jc w:val="center"/>
              <w:rPr>
                <w:rFonts w:ascii="Verdana" w:eastAsia="Times New Roman" w:hAnsi="Verdana" w:cs="Times New Roman"/>
                <w:b/>
                <w:bCs/>
                <w:color w:val="5393C3"/>
                <w:sz w:val="24"/>
                <w:szCs w:val="24"/>
              </w:rPr>
            </w:pPr>
            <w:r w:rsidRPr="008410B5">
              <w:rPr>
                <w:rFonts w:ascii="Verdana" w:eastAsia="Times New Roman" w:hAnsi="Verdana" w:cs="Times New Roman"/>
                <w:b/>
                <w:bCs/>
                <w:color w:val="5393C3"/>
                <w:sz w:val="24"/>
                <w:szCs w:val="24"/>
              </w:rPr>
              <w:t xml:space="preserve">millimeters </w:t>
            </w:r>
          </w:p>
        </w:tc>
        <w:tc>
          <w:tcPr>
            <w:tcW w:w="1500" w:type="dxa"/>
            <w:tcBorders>
              <w:top w:val="single" w:sz="6" w:space="0" w:color="EDEDED"/>
              <w:left w:val="single" w:sz="6" w:space="0" w:color="EDEDED"/>
              <w:bottom w:val="single" w:sz="6" w:space="0" w:color="EDEDED"/>
              <w:right w:val="single" w:sz="6" w:space="0" w:color="EDEDED"/>
            </w:tcBorders>
            <w:tcMar>
              <w:top w:w="45" w:type="dxa"/>
              <w:left w:w="45" w:type="dxa"/>
              <w:bottom w:w="45" w:type="dxa"/>
              <w:right w:w="45" w:type="dxa"/>
            </w:tcMar>
            <w:vAlign w:val="center"/>
            <w:hideMark/>
          </w:tcPr>
          <w:p w:rsidR="008410B5" w:rsidRPr="008410B5" w:rsidRDefault="008410B5" w:rsidP="008410B5">
            <w:pPr>
              <w:spacing w:after="0" w:line="270" w:lineRule="atLeast"/>
              <w:jc w:val="center"/>
              <w:rPr>
                <w:rFonts w:ascii="Verdana" w:eastAsia="Times New Roman" w:hAnsi="Verdana" w:cs="Times New Roman"/>
                <w:b/>
                <w:bCs/>
                <w:color w:val="5393C3"/>
                <w:sz w:val="24"/>
                <w:szCs w:val="24"/>
              </w:rPr>
            </w:pPr>
            <w:r w:rsidRPr="008410B5">
              <w:rPr>
                <w:rFonts w:ascii="Verdana" w:eastAsia="Times New Roman" w:hAnsi="Verdana" w:cs="Times New Roman"/>
                <w:b/>
                <w:bCs/>
                <w:color w:val="5393C3"/>
                <w:sz w:val="24"/>
                <w:szCs w:val="24"/>
              </w:rPr>
              <w:t xml:space="preserve">microns </w:t>
            </w:r>
          </w:p>
        </w:tc>
      </w:tr>
      <w:tr w:rsidR="008410B5" w:rsidRPr="008410B5" w:rsidTr="008410B5">
        <w:trPr>
          <w:tblCellSpacing w:w="0" w:type="dxa"/>
          <w:jc w:val="center"/>
        </w:trPr>
        <w:tc>
          <w:tcPr>
            <w:tcW w:w="213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2</w:t>
            </w:r>
          </w:p>
        </w:tc>
        <w:tc>
          <w:tcPr>
            <w:tcW w:w="231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9.52</w:t>
            </w:r>
          </w:p>
        </w:tc>
        <w:tc>
          <w:tcPr>
            <w:tcW w:w="216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9520</w:t>
            </w:r>
          </w:p>
        </w:tc>
      </w:tr>
      <w:tr w:rsidR="008410B5" w:rsidRPr="008410B5" w:rsidTr="008410B5">
        <w:trPr>
          <w:tblCellSpacing w:w="0" w:type="dxa"/>
          <w:jc w:val="center"/>
        </w:trPr>
        <w:tc>
          <w:tcPr>
            <w:tcW w:w="213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4</w:t>
            </w:r>
          </w:p>
        </w:tc>
        <w:tc>
          <w:tcPr>
            <w:tcW w:w="231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4.76</w:t>
            </w:r>
          </w:p>
        </w:tc>
        <w:tc>
          <w:tcPr>
            <w:tcW w:w="216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4760</w:t>
            </w:r>
          </w:p>
        </w:tc>
      </w:tr>
      <w:tr w:rsidR="008410B5" w:rsidRPr="008410B5" w:rsidTr="008410B5">
        <w:trPr>
          <w:tblCellSpacing w:w="0" w:type="dxa"/>
          <w:jc w:val="center"/>
        </w:trPr>
        <w:tc>
          <w:tcPr>
            <w:tcW w:w="213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8</w:t>
            </w:r>
          </w:p>
        </w:tc>
        <w:tc>
          <w:tcPr>
            <w:tcW w:w="231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2.38</w:t>
            </w:r>
          </w:p>
        </w:tc>
        <w:tc>
          <w:tcPr>
            <w:tcW w:w="216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2380</w:t>
            </w:r>
          </w:p>
        </w:tc>
      </w:tr>
      <w:tr w:rsidR="008410B5" w:rsidRPr="008410B5" w:rsidTr="008410B5">
        <w:trPr>
          <w:tblCellSpacing w:w="0" w:type="dxa"/>
          <w:jc w:val="center"/>
        </w:trPr>
        <w:tc>
          <w:tcPr>
            <w:tcW w:w="213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10</w:t>
            </w:r>
          </w:p>
        </w:tc>
        <w:tc>
          <w:tcPr>
            <w:tcW w:w="231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2.00</w:t>
            </w:r>
          </w:p>
        </w:tc>
        <w:tc>
          <w:tcPr>
            <w:tcW w:w="216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2000</w:t>
            </w:r>
          </w:p>
        </w:tc>
      </w:tr>
      <w:tr w:rsidR="008410B5" w:rsidRPr="008410B5" w:rsidTr="008410B5">
        <w:trPr>
          <w:tblCellSpacing w:w="0" w:type="dxa"/>
          <w:jc w:val="center"/>
        </w:trPr>
        <w:tc>
          <w:tcPr>
            <w:tcW w:w="213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20</w:t>
            </w:r>
          </w:p>
        </w:tc>
        <w:tc>
          <w:tcPr>
            <w:tcW w:w="231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0.84</w:t>
            </w:r>
          </w:p>
        </w:tc>
        <w:tc>
          <w:tcPr>
            <w:tcW w:w="216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840</w:t>
            </w:r>
          </w:p>
        </w:tc>
      </w:tr>
      <w:tr w:rsidR="008410B5" w:rsidRPr="008410B5" w:rsidTr="008410B5">
        <w:trPr>
          <w:tblCellSpacing w:w="0" w:type="dxa"/>
          <w:jc w:val="center"/>
        </w:trPr>
        <w:tc>
          <w:tcPr>
            <w:tcW w:w="213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30</w:t>
            </w:r>
          </w:p>
        </w:tc>
        <w:tc>
          <w:tcPr>
            <w:tcW w:w="231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0.59</w:t>
            </w:r>
          </w:p>
        </w:tc>
        <w:tc>
          <w:tcPr>
            <w:tcW w:w="216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590</w:t>
            </w:r>
          </w:p>
        </w:tc>
      </w:tr>
      <w:tr w:rsidR="008410B5" w:rsidRPr="008410B5" w:rsidTr="008410B5">
        <w:trPr>
          <w:tblCellSpacing w:w="0" w:type="dxa"/>
          <w:jc w:val="center"/>
        </w:trPr>
        <w:tc>
          <w:tcPr>
            <w:tcW w:w="213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40</w:t>
            </w:r>
          </w:p>
        </w:tc>
        <w:tc>
          <w:tcPr>
            <w:tcW w:w="231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0.42</w:t>
            </w:r>
          </w:p>
        </w:tc>
        <w:tc>
          <w:tcPr>
            <w:tcW w:w="216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420</w:t>
            </w:r>
          </w:p>
        </w:tc>
      </w:tr>
      <w:tr w:rsidR="008410B5" w:rsidRPr="008410B5" w:rsidTr="008410B5">
        <w:trPr>
          <w:tblCellSpacing w:w="0" w:type="dxa"/>
          <w:jc w:val="center"/>
        </w:trPr>
        <w:tc>
          <w:tcPr>
            <w:tcW w:w="213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50</w:t>
            </w:r>
          </w:p>
        </w:tc>
        <w:tc>
          <w:tcPr>
            <w:tcW w:w="231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0.297</w:t>
            </w:r>
          </w:p>
        </w:tc>
        <w:tc>
          <w:tcPr>
            <w:tcW w:w="216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297</w:t>
            </w:r>
          </w:p>
        </w:tc>
      </w:tr>
      <w:tr w:rsidR="008410B5" w:rsidRPr="008410B5" w:rsidTr="008410B5">
        <w:trPr>
          <w:tblCellSpacing w:w="0" w:type="dxa"/>
          <w:jc w:val="center"/>
        </w:trPr>
        <w:tc>
          <w:tcPr>
            <w:tcW w:w="213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60</w:t>
            </w:r>
          </w:p>
        </w:tc>
        <w:tc>
          <w:tcPr>
            <w:tcW w:w="231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0.250</w:t>
            </w:r>
          </w:p>
        </w:tc>
        <w:tc>
          <w:tcPr>
            <w:tcW w:w="216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250</w:t>
            </w:r>
          </w:p>
        </w:tc>
      </w:tr>
      <w:tr w:rsidR="008410B5" w:rsidRPr="008410B5" w:rsidTr="008410B5">
        <w:trPr>
          <w:tblCellSpacing w:w="0" w:type="dxa"/>
          <w:jc w:val="center"/>
        </w:trPr>
        <w:tc>
          <w:tcPr>
            <w:tcW w:w="213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70</w:t>
            </w:r>
          </w:p>
        </w:tc>
        <w:tc>
          <w:tcPr>
            <w:tcW w:w="231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0.210</w:t>
            </w:r>
          </w:p>
        </w:tc>
        <w:tc>
          <w:tcPr>
            <w:tcW w:w="216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210</w:t>
            </w:r>
          </w:p>
        </w:tc>
      </w:tr>
      <w:tr w:rsidR="008410B5" w:rsidRPr="008410B5" w:rsidTr="008410B5">
        <w:trPr>
          <w:tblCellSpacing w:w="0" w:type="dxa"/>
          <w:jc w:val="center"/>
        </w:trPr>
        <w:tc>
          <w:tcPr>
            <w:tcW w:w="213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80</w:t>
            </w:r>
          </w:p>
        </w:tc>
        <w:tc>
          <w:tcPr>
            <w:tcW w:w="231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0.177</w:t>
            </w:r>
          </w:p>
        </w:tc>
        <w:tc>
          <w:tcPr>
            <w:tcW w:w="216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177</w:t>
            </w:r>
          </w:p>
        </w:tc>
      </w:tr>
      <w:tr w:rsidR="008410B5" w:rsidRPr="008410B5" w:rsidTr="008410B5">
        <w:trPr>
          <w:tblCellSpacing w:w="0" w:type="dxa"/>
          <w:jc w:val="center"/>
        </w:trPr>
        <w:tc>
          <w:tcPr>
            <w:tcW w:w="213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100</w:t>
            </w:r>
          </w:p>
        </w:tc>
        <w:tc>
          <w:tcPr>
            <w:tcW w:w="231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0.149</w:t>
            </w:r>
          </w:p>
        </w:tc>
        <w:tc>
          <w:tcPr>
            <w:tcW w:w="216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149</w:t>
            </w:r>
          </w:p>
        </w:tc>
      </w:tr>
      <w:tr w:rsidR="008410B5" w:rsidRPr="008410B5" w:rsidTr="008410B5">
        <w:trPr>
          <w:tblCellSpacing w:w="0" w:type="dxa"/>
          <w:jc w:val="center"/>
        </w:trPr>
        <w:tc>
          <w:tcPr>
            <w:tcW w:w="213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120</w:t>
            </w:r>
          </w:p>
        </w:tc>
        <w:tc>
          <w:tcPr>
            <w:tcW w:w="231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0.125</w:t>
            </w:r>
          </w:p>
        </w:tc>
        <w:tc>
          <w:tcPr>
            <w:tcW w:w="216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125</w:t>
            </w:r>
          </w:p>
        </w:tc>
      </w:tr>
      <w:tr w:rsidR="008410B5" w:rsidRPr="008410B5" w:rsidTr="008410B5">
        <w:trPr>
          <w:tblCellSpacing w:w="0" w:type="dxa"/>
          <w:jc w:val="center"/>
        </w:trPr>
        <w:tc>
          <w:tcPr>
            <w:tcW w:w="213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200</w:t>
            </w:r>
          </w:p>
        </w:tc>
        <w:tc>
          <w:tcPr>
            <w:tcW w:w="231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0.074</w:t>
            </w:r>
          </w:p>
        </w:tc>
        <w:tc>
          <w:tcPr>
            <w:tcW w:w="216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74</w:t>
            </w:r>
          </w:p>
        </w:tc>
      </w:tr>
    </w:tbl>
    <w:p w:rsidR="008410B5" w:rsidRPr="008410B5" w:rsidRDefault="008410B5" w:rsidP="008410B5">
      <w:pPr>
        <w:spacing w:after="0" w:line="270" w:lineRule="atLeast"/>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lastRenderedPageBreak/>
        <w:br/>
        <w:t>   </w:t>
      </w:r>
      <w:r w:rsidRPr="008410B5">
        <w:rPr>
          <w:rFonts w:ascii="Verdana" w:eastAsia="Times New Roman" w:hAnsi="Verdana" w:cs="Times New Roman"/>
          <w:noProof/>
          <w:color w:val="332E20"/>
          <w:sz w:val="18"/>
          <w:szCs w:val="18"/>
        </w:rPr>
        <w:drawing>
          <wp:inline distT="0" distB="0" distL="0" distR="0" wp14:anchorId="6EB1174A" wp14:editId="1AD75A8F">
            <wp:extent cx="2798445" cy="1377315"/>
            <wp:effectExtent l="0" t="0" r="1905" b="0"/>
            <wp:docPr id="1" name="Picture 1" descr="https://pharmlabs.unc.edu/labs/powders/images/sieve_siz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harmlabs.unc.edu/labs/powders/images/sieve_siz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8445" cy="1377315"/>
                    </a:xfrm>
                    <a:prstGeom prst="rect">
                      <a:avLst/>
                    </a:prstGeom>
                    <a:noFill/>
                    <a:ln>
                      <a:noFill/>
                    </a:ln>
                  </pic:spPr>
                </pic:pic>
              </a:graphicData>
            </a:graphic>
          </wp:inline>
        </w:drawing>
      </w:r>
      <w:r w:rsidRPr="008410B5">
        <w:rPr>
          <w:rFonts w:ascii="Verdana" w:eastAsia="Times New Roman" w:hAnsi="Verdana" w:cs="Times New Roman"/>
          <w:color w:val="332E20"/>
          <w:sz w:val="18"/>
          <w:szCs w:val="18"/>
        </w:rPr>
        <w:t>  </w:t>
      </w:r>
      <w:r w:rsidRPr="008410B5">
        <w:rPr>
          <w:rFonts w:ascii="Verdana" w:eastAsia="Times New Roman" w:hAnsi="Verdana" w:cs="Times New Roman"/>
          <w:noProof/>
          <w:color w:val="332E20"/>
          <w:sz w:val="18"/>
          <w:szCs w:val="18"/>
        </w:rPr>
        <w:drawing>
          <wp:inline distT="0" distB="0" distL="0" distR="0" wp14:anchorId="52B9F059" wp14:editId="42465C5A">
            <wp:extent cx="1872615" cy="1377315"/>
            <wp:effectExtent l="0" t="0" r="0" b="0"/>
            <wp:docPr id="2" name="Picture 2" descr="https://pharmlabs.unc.edu/labs/powders/images/siev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harmlabs.unc.edu/labs/powders/images/sieve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2615" cy="1377315"/>
                    </a:xfrm>
                    <a:prstGeom prst="rect">
                      <a:avLst/>
                    </a:prstGeom>
                    <a:noFill/>
                    <a:ln>
                      <a:noFill/>
                    </a:ln>
                  </pic:spPr>
                </pic:pic>
              </a:graphicData>
            </a:graphic>
          </wp:inline>
        </w:drawing>
      </w:r>
      <w:r w:rsidRPr="008410B5">
        <w:rPr>
          <w:rFonts w:ascii="Verdana" w:eastAsia="Times New Roman" w:hAnsi="Verdana" w:cs="Times New Roman"/>
          <w:color w:val="332E20"/>
          <w:sz w:val="18"/>
          <w:szCs w:val="18"/>
        </w:rPr>
        <w:t xml:space="preserve"> </w:t>
      </w:r>
    </w:p>
    <w:p w:rsidR="008410B5" w:rsidRPr="008410B5" w:rsidRDefault="008410B5" w:rsidP="008410B5">
      <w:pPr>
        <w:spacing w:before="100" w:beforeAutospacing="1" w:after="100" w:afterAutospacing="1" w:line="270" w:lineRule="atLeast"/>
        <w:rPr>
          <w:rFonts w:ascii="Times New Roman" w:eastAsia="Times New Roman" w:hAnsi="Times New Roman" w:cs="Times New Roman"/>
          <w:color w:val="332E20"/>
          <w:sz w:val="24"/>
          <w:szCs w:val="24"/>
        </w:rPr>
      </w:pPr>
      <w:r w:rsidRPr="008410B5">
        <w:rPr>
          <w:rFonts w:ascii="Verdana" w:eastAsia="Times New Roman" w:hAnsi="Verdana" w:cs="Times New Roman"/>
          <w:color w:val="332E20"/>
          <w:sz w:val="18"/>
          <w:szCs w:val="18"/>
        </w:rPr>
        <w:br/>
      </w:r>
      <w:r w:rsidRPr="008410B5">
        <w:rPr>
          <w:rFonts w:ascii="Verdana" w:eastAsia="Times New Roman" w:hAnsi="Verdana" w:cs="Times New Roman"/>
          <w:color w:val="332E20"/>
          <w:sz w:val="18"/>
          <w:szCs w:val="18"/>
        </w:rPr>
        <w:br/>
      </w:r>
      <w:r w:rsidRPr="008410B5">
        <w:rPr>
          <w:rFonts w:ascii="Times New Roman" w:eastAsia="Times New Roman" w:hAnsi="Times New Roman" w:cs="Times New Roman"/>
          <w:color w:val="332E20"/>
          <w:sz w:val="24"/>
          <w:szCs w:val="24"/>
        </w:rPr>
        <w:t xml:space="preserve">The USP 24/NF19 uses descriptive terms to define powder fineness. The table below shows the correlation their classification. </w:t>
      </w:r>
    </w:p>
    <w:tbl>
      <w:tblPr>
        <w:tblW w:w="4500" w:type="pct"/>
        <w:jc w:val="center"/>
        <w:tblCellSpacing w:w="0" w:type="dxa"/>
        <w:tblBorders>
          <w:top w:val="single" w:sz="6" w:space="0" w:color="EDEDED"/>
          <w:left w:val="single" w:sz="6" w:space="0" w:color="EDEDED"/>
          <w:bottom w:val="single" w:sz="6" w:space="0" w:color="EDEDED"/>
          <w:right w:val="single" w:sz="6" w:space="0" w:color="EDEDED"/>
        </w:tblBorders>
        <w:tblCellMar>
          <w:left w:w="0" w:type="dxa"/>
          <w:right w:w="0" w:type="dxa"/>
        </w:tblCellMar>
        <w:tblLook w:val="04A0" w:firstRow="1" w:lastRow="0" w:firstColumn="1" w:lastColumn="0" w:noHBand="0" w:noVBand="1"/>
      </w:tblPr>
      <w:tblGrid>
        <w:gridCol w:w="3428"/>
        <w:gridCol w:w="2552"/>
        <w:gridCol w:w="2552"/>
      </w:tblGrid>
      <w:tr w:rsidR="008410B5" w:rsidRPr="008410B5" w:rsidTr="008410B5">
        <w:trPr>
          <w:tblCellSpacing w:w="0" w:type="dxa"/>
          <w:jc w:val="center"/>
        </w:trPr>
        <w:tc>
          <w:tcPr>
            <w:tcW w:w="1500" w:type="dxa"/>
            <w:tcBorders>
              <w:top w:val="single" w:sz="6" w:space="0" w:color="EDEDED"/>
              <w:left w:val="single" w:sz="6" w:space="0" w:color="EDEDED"/>
              <w:bottom w:val="single" w:sz="6" w:space="0" w:color="EDEDED"/>
              <w:right w:val="single" w:sz="6" w:space="0" w:color="EDEDED"/>
            </w:tcBorders>
            <w:tcMar>
              <w:top w:w="45" w:type="dxa"/>
              <w:left w:w="45" w:type="dxa"/>
              <w:bottom w:w="45" w:type="dxa"/>
              <w:right w:w="45" w:type="dxa"/>
            </w:tcMar>
            <w:vAlign w:val="center"/>
            <w:hideMark/>
          </w:tcPr>
          <w:p w:rsidR="008410B5" w:rsidRPr="008410B5" w:rsidRDefault="008410B5" w:rsidP="008410B5">
            <w:pPr>
              <w:spacing w:after="0" w:line="270" w:lineRule="atLeast"/>
              <w:jc w:val="center"/>
              <w:rPr>
                <w:rFonts w:ascii="Verdana" w:eastAsia="Times New Roman" w:hAnsi="Verdana" w:cs="Times New Roman"/>
                <w:b/>
                <w:bCs/>
                <w:color w:val="5393C3"/>
                <w:sz w:val="24"/>
                <w:szCs w:val="24"/>
              </w:rPr>
            </w:pPr>
            <w:r w:rsidRPr="008410B5">
              <w:rPr>
                <w:rFonts w:ascii="Verdana" w:eastAsia="Times New Roman" w:hAnsi="Verdana" w:cs="Times New Roman"/>
                <w:b/>
                <w:bCs/>
                <w:color w:val="5393C3"/>
                <w:sz w:val="24"/>
                <w:szCs w:val="24"/>
              </w:rPr>
              <w:t>Description Term</w:t>
            </w:r>
          </w:p>
        </w:tc>
        <w:tc>
          <w:tcPr>
            <w:tcW w:w="1500" w:type="dxa"/>
            <w:tcBorders>
              <w:top w:val="single" w:sz="6" w:space="0" w:color="EDEDED"/>
              <w:left w:val="single" w:sz="6" w:space="0" w:color="EDEDED"/>
              <w:bottom w:val="single" w:sz="6" w:space="0" w:color="EDEDED"/>
              <w:right w:val="single" w:sz="6" w:space="0" w:color="EDEDED"/>
            </w:tcBorders>
            <w:tcMar>
              <w:top w:w="45" w:type="dxa"/>
              <w:left w:w="45" w:type="dxa"/>
              <w:bottom w:w="45" w:type="dxa"/>
              <w:right w:w="45" w:type="dxa"/>
            </w:tcMar>
            <w:vAlign w:val="center"/>
            <w:hideMark/>
          </w:tcPr>
          <w:p w:rsidR="008410B5" w:rsidRPr="008410B5" w:rsidRDefault="008410B5" w:rsidP="008410B5">
            <w:pPr>
              <w:spacing w:after="0" w:line="270" w:lineRule="atLeast"/>
              <w:jc w:val="center"/>
              <w:rPr>
                <w:rFonts w:ascii="Verdana" w:eastAsia="Times New Roman" w:hAnsi="Verdana" w:cs="Times New Roman"/>
                <w:b/>
                <w:bCs/>
                <w:color w:val="5393C3"/>
                <w:sz w:val="24"/>
                <w:szCs w:val="24"/>
              </w:rPr>
            </w:pPr>
            <w:r w:rsidRPr="008410B5">
              <w:rPr>
                <w:rFonts w:ascii="Verdana" w:eastAsia="Times New Roman" w:hAnsi="Verdana" w:cs="Times New Roman"/>
                <w:b/>
                <w:bCs/>
                <w:color w:val="5393C3"/>
                <w:sz w:val="24"/>
                <w:szCs w:val="24"/>
              </w:rPr>
              <w:t>Mesh Opening Size (microns)</w:t>
            </w:r>
          </w:p>
        </w:tc>
        <w:tc>
          <w:tcPr>
            <w:tcW w:w="1500" w:type="dxa"/>
            <w:tcBorders>
              <w:top w:val="single" w:sz="6" w:space="0" w:color="EDEDED"/>
              <w:left w:val="single" w:sz="6" w:space="0" w:color="EDEDED"/>
              <w:bottom w:val="single" w:sz="6" w:space="0" w:color="EDEDED"/>
              <w:right w:val="single" w:sz="6" w:space="0" w:color="EDEDED"/>
            </w:tcBorders>
            <w:tcMar>
              <w:top w:w="45" w:type="dxa"/>
              <w:left w:w="45" w:type="dxa"/>
              <w:bottom w:w="45" w:type="dxa"/>
              <w:right w:w="45" w:type="dxa"/>
            </w:tcMar>
            <w:vAlign w:val="center"/>
            <w:hideMark/>
          </w:tcPr>
          <w:p w:rsidR="008410B5" w:rsidRPr="008410B5" w:rsidRDefault="008410B5" w:rsidP="008410B5">
            <w:pPr>
              <w:spacing w:after="0" w:line="270" w:lineRule="atLeast"/>
              <w:jc w:val="center"/>
              <w:rPr>
                <w:rFonts w:ascii="Verdana" w:eastAsia="Times New Roman" w:hAnsi="Verdana" w:cs="Times New Roman"/>
                <w:b/>
                <w:bCs/>
                <w:color w:val="5393C3"/>
                <w:sz w:val="24"/>
                <w:szCs w:val="24"/>
              </w:rPr>
            </w:pPr>
            <w:r w:rsidRPr="008410B5">
              <w:rPr>
                <w:rFonts w:ascii="Verdana" w:eastAsia="Times New Roman" w:hAnsi="Verdana" w:cs="Times New Roman"/>
                <w:b/>
                <w:bCs/>
                <w:color w:val="5393C3"/>
                <w:sz w:val="24"/>
                <w:szCs w:val="24"/>
              </w:rPr>
              <w:t>Mesh Size Number</w:t>
            </w:r>
          </w:p>
        </w:tc>
      </w:tr>
      <w:tr w:rsidR="008410B5" w:rsidRPr="008410B5" w:rsidTr="008410B5">
        <w:trPr>
          <w:tblCellSpacing w:w="0" w:type="dxa"/>
          <w:jc w:val="center"/>
        </w:trPr>
        <w:tc>
          <w:tcPr>
            <w:tcW w:w="0" w:type="auto"/>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Very Coarse</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&gt; 1000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2 - 10</w:t>
            </w:r>
          </w:p>
        </w:tc>
      </w:tr>
      <w:tr w:rsidR="008410B5" w:rsidRPr="008410B5" w:rsidTr="008410B5">
        <w:trPr>
          <w:tblCellSpacing w:w="0" w:type="dxa"/>
          <w:jc w:val="center"/>
        </w:trPr>
        <w:tc>
          <w:tcPr>
            <w:tcW w:w="0" w:type="auto"/>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Coarse</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355 -1000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20 - 40</w:t>
            </w:r>
          </w:p>
        </w:tc>
      </w:tr>
      <w:tr w:rsidR="008410B5" w:rsidRPr="008410B5" w:rsidTr="008410B5">
        <w:trPr>
          <w:tblCellSpacing w:w="0" w:type="dxa"/>
          <w:jc w:val="center"/>
        </w:trPr>
        <w:tc>
          <w:tcPr>
            <w:tcW w:w="0" w:type="auto"/>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Moderately Coarse</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180 - 355</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40 - 80</w:t>
            </w:r>
          </w:p>
        </w:tc>
      </w:tr>
      <w:tr w:rsidR="008410B5" w:rsidRPr="008410B5" w:rsidTr="008410B5">
        <w:trPr>
          <w:tblCellSpacing w:w="0" w:type="dxa"/>
          <w:jc w:val="center"/>
        </w:trPr>
        <w:tc>
          <w:tcPr>
            <w:tcW w:w="0" w:type="auto"/>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Fine</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125 - 180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80 - 120</w:t>
            </w:r>
          </w:p>
        </w:tc>
      </w:tr>
      <w:tr w:rsidR="008410B5" w:rsidRPr="008410B5" w:rsidTr="008410B5">
        <w:trPr>
          <w:tblCellSpacing w:w="0" w:type="dxa"/>
          <w:jc w:val="center"/>
        </w:trPr>
        <w:tc>
          <w:tcPr>
            <w:tcW w:w="0" w:type="auto"/>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Very Fine</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90 - 125</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hideMark/>
          </w:tcPr>
          <w:p w:rsidR="008410B5" w:rsidRPr="008410B5" w:rsidRDefault="008410B5" w:rsidP="008410B5">
            <w:pPr>
              <w:spacing w:after="0" w:line="270" w:lineRule="atLeast"/>
              <w:jc w:val="center"/>
              <w:rPr>
                <w:rFonts w:ascii="Verdana" w:eastAsia="Times New Roman" w:hAnsi="Verdana" w:cs="Times New Roman"/>
                <w:color w:val="332E20"/>
                <w:sz w:val="18"/>
                <w:szCs w:val="18"/>
              </w:rPr>
            </w:pPr>
            <w:r w:rsidRPr="008410B5">
              <w:rPr>
                <w:rFonts w:ascii="Verdana" w:eastAsia="Times New Roman" w:hAnsi="Verdana" w:cs="Times New Roman"/>
                <w:color w:val="332E20"/>
                <w:sz w:val="18"/>
                <w:szCs w:val="18"/>
              </w:rPr>
              <w:t>120 - 200</w:t>
            </w:r>
          </w:p>
        </w:tc>
      </w:tr>
    </w:tbl>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 xml:space="preserve">A good powder formulation has </w:t>
      </w:r>
      <w:proofErr w:type="gramStart"/>
      <w:r w:rsidRPr="008410B5">
        <w:rPr>
          <w:rFonts w:ascii="Times New Roman" w:eastAsia="Times New Roman" w:hAnsi="Times New Roman" w:cs="Times New Roman"/>
          <w:color w:val="332E20"/>
          <w:sz w:val="24"/>
          <w:szCs w:val="24"/>
        </w:rPr>
        <w:t>an</w:t>
      </w:r>
      <w:proofErr w:type="gramEnd"/>
      <w:r w:rsidRPr="008410B5">
        <w:rPr>
          <w:rFonts w:ascii="Times New Roman" w:eastAsia="Times New Roman" w:hAnsi="Times New Roman" w:cs="Times New Roman"/>
          <w:color w:val="332E20"/>
          <w:sz w:val="24"/>
          <w:szCs w:val="24"/>
        </w:rPr>
        <w:t xml:space="preserve"> uniform particle size distribution. If the particle size distribution is not uniform, the powder can segregate according to the different particle sizes which may result in inaccurate dosing or inconsistent performance. A uniform particle size distribution insures </w:t>
      </w:r>
      <w:proofErr w:type="gramStart"/>
      <w:r w:rsidRPr="008410B5">
        <w:rPr>
          <w:rFonts w:ascii="Times New Roman" w:eastAsia="Times New Roman" w:hAnsi="Times New Roman" w:cs="Times New Roman"/>
          <w:color w:val="332E20"/>
          <w:sz w:val="24"/>
          <w:szCs w:val="24"/>
        </w:rPr>
        <w:t>an</w:t>
      </w:r>
      <w:proofErr w:type="gramEnd"/>
      <w:r w:rsidRPr="008410B5">
        <w:rPr>
          <w:rFonts w:ascii="Times New Roman" w:eastAsia="Times New Roman" w:hAnsi="Times New Roman" w:cs="Times New Roman"/>
          <w:color w:val="332E20"/>
          <w:sz w:val="24"/>
          <w:szCs w:val="24"/>
        </w:rPr>
        <w:t xml:space="preserve"> uniform dissolution rate if the powder is to dissolve, an uniform sedimentation rate if the powder is used in a suspension, and minimizes stratification when powders are stored or transported.</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 xml:space="preserve">Reducing the particle size of a powder will result in </w:t>
      </w:r>
      <w:proofErr w:type="gramStart"/>
      <w:r w:rsidRPr="008410B5">
        <w:rPr>
          <w:rFonts w:ascii="Times New Roman" w:eastAsia="Times New Roman" w:hAnsi="Times New Roman" w:cs="Times New Roman"/>
          <w:color w:val="332E20"/>
          <w:sz w:val="24"/>
          <w:szCs w:val="24"/>
        </w:rPr>
        <w:t>an</w:t>
      </w:r>
      <w:proofErr w:type="gramEnd"/>
      <w:r w:rsidRPr="008410B5">
        <w:rPr>
          <w:rFonts w:ascii="Times New Roman" w:eastAsia="Times New Roman" w:hAnsi="Times New Roman" w:cs="Times New Roman"/>
          <w:color w:val="332E20"/>
          <w:sz w:val="24"/>
          <w:szCs w:val="24"/>
        </w:rPr>
        <w:t xml:space="preserve"> uniform distribution of particle sizes. The process of reducing the particle size is called </w:t>
      </w:r>
      <w:proofErr w:type="spellStart"/>
      <w:r w:rsidRPr="008410B5">
        <w:rPr>
          <w:rFonts w:ascii="Times New Roman" w:eastAsia="Times New Roman" w:hAnsi="Times New Roman" w:cs="Times New Roman"/>
          <w:color w:val="332E20"/>
          <w:sz w:val="24"/>
          <w:szCs w:val="24"/>
        </w:rPr>
        <w:t>comminution</w:t>
      </w:r>
      <w:proofErr w:type="spellEnd"/>
      <w:r w:rsidRPr="008410B5">
        <w:rPr>
          <w:rFonts w:ascii="Times New Roman" w:eastAsia="Times New Roman" w:hAnsi="Times New Roman" w:cs="Times New Roman"/>
          <w:color w:val="332E20"/>
          <w:sz w:val="24"/>
          <w:szCs w:val="24"/>
        </w:rPr>
        <w:t xml:space="preserve">. In extemporaneous compounding, there are three methods of </w:t>
      </w:r>
      <w:proofErr w:type="spellStart"/>
      <w:r w:rsidRPr="008410B5">
        <w:rPr>
          <w:rFonts w:ascii="Times New Roman" w:eastAsia="Times New Roman" w:hAnsi="Times New Roman" w:cs="Times New Roman"/>
          <w:color w:val="332E20"/>
          <w:sz w:val="24"/>
          <w:szCs w:val="24"/>
        </w:rPr>
        <w:t>comminution</w:t>
      </w:r>
      <w:proofErr w:type="spellEnd"/>
      <w:r w:rsidRPr="008410B5">
        <w:rPr>
          <w:rFonts w:ascii="Times New Roman" w:eastAsia="Times New Roman" w:hAnsi="Times New Roman" w:cs="Times New Roman"/>
          <w:color w:val="332E20"/>
          <w:sz w:val="24"/>
          <w:szCs w:val="24"/>
        </w:rPr>
        <w:t>:</w:t>
      </w:r>
    </w:p>
    <w:p w:rsidR="008410B5" w:rsidRPr="008410B5" w:rsidRDefault="008410B5" w:rsidP="008410B5">
      <w:pPr>
        <w:spacing w:before="100" w:beforeAutospacing="1" w:after="100" w:afterAutospacing="1" w:line="360" w:lineRule="auto"/>
        <w:ind w:left="-90"/>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b/>
          <w:bCs/>
          <w:color w:val="332E20"/>
          <w:sz w:val="24"/>
          <w:szCs w:val="24"/>
        </w:rPr>
        <w:lastRenderedPageBreak/>
        <w:t>Trituration</w:t>
      </w:r>
      <w:r w:rsidRPr="008410B5">
        <w:rPr>
          <w:rFonts w:ascii="Times New Roman" w:eastAsia="Times New Roman" w:hAnsi="Times New Roman" w:cs="Times New Roman"/>
          <w:color w:val="332E20"/>
          <w:sz w:val="24"/>
          <w:szCs w:val="24"/>
        </w:rPr>
        <w:t xml:space="preserve"> is the continuous rubbing or grinding of the powder in a mortar with a pestle. This method is used when working with hard, </w:t>
      </w:r>
      <w:proofErr w:type="spellStart"/>
      <w:r w:rsidRPr="008410B5">
        <w:rPr>
          <w:rFonts w:ascii="Times New Roman" w:eastAsia="Times New Roman" w:hAnsi="Times New Roman" w:cs="Times New Roman"/>
          <w:color w:val="332E20"/>
          <w:sz w:val="24"/>
          <w:szCs w:val="24"/>
        </w:rPr>
        <w:t>fracturable</w:t>
      </w:r>
      <w:proofErr w:type="spellEnd"/>
      <w:r w:rsidRPr="008410B5">
        <w:rPr>
          <w:rFonts w:ascii="Times New Roman" w:eastAsia="Times New Roman" w:hAnsi="Times New Roman" w:cs="Times New Roman"/>
          <w:color w:val="332E20"/>
          <w:sz w:val="24"/>
          <w:szCs w:val="24"/>
        </w:rPr>
        <w:t xml:space="preserve"> powders.</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b/>
          <w:bCs/>
          <w:color w:val="332E20"/>
          <w:sz w:val="24"/>
          <w:szCs w:val="24"/>
        </w:rPr>
        <w:t>Pulverization by Intervention</w:t>
      </w:r>
      <w:r w:rsidRPr="008410B5">
        <w:rPr>
          <w:rFonts w:ascii="Times New Roman" w:eastAsia="Times New Roman" w:hAnsi="Times New Roman" w:cs="Times New Roman"/>
          <w:color w:val="332E20"/>
          <w:sz w:val="24"/>
          <w:szCs w:val="24"/>
        </w:rPr>
        <w:t xml:space="preserve"> is used with hard crystalline powders that do not crush or triturate easily, or gummy-type substances. The first step is to use an "intervening" solvent (such as alcohol or acetone) that will dissolve the compound. The dissolved powder is then mixed in a mortar or spread on an ointment slab to enhance the evaporation of the solvent. As the solvent evaporates, the powder will recrystallize out </w:t>
      </w:r>
      <w:proofErr w:type="gramStart"/>
      <w:r w:rsidRPr="008410B5">
        <w:rPr>
          <w:rFonts w:ascii="Times New Roman" w:eastAsia="Times New Roman" w:hAnsi="Times New Roman" w:cs="Times New Roman"/>
          <w:color w:val="332E20"/>
          <w:sz w:val="24"/>
          <w:szCs w:val="24"/>
        </w:rPr>
        <w:t>of</w:t>
      </w:r>
      <w:proofErr w:type="gramEnd"/>
      <w:r w:rsidRPr="008410B5">
        <w:rPr>
          <w:rFonts w:ascii="Times New Roman" w:eastAsia="Times New Roman" w:hAnsi="Times New Roman" w:cs="Times New Roman"/>
          <w:color w:val="332E20"/>
          <w:sz w:val="24"/>
          <w:szCs w:val="24"/>
        </w:rPr>
        <w:t xml:space="preserve"> solution as fine particles.</w:t>
      </w:r>
    </w:p>
    <w:p w:rsid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proofErr w:type="spellStart"/>
      <w:r w:rsidRPr="008410B5">
        <w:rPr>
          <w:rFonts w:ascii="Times New Roman" w:eastAsia="Times New Roman" w:hAnsi="Times New Roman" w:cs="Times New Roman"/>
          <w:b/>
          <w:bCs/>
          <w:color w:val="332E20"/>
          <w:sz w:val="24"/>
          <w:szCs w:val="24"/>
        </w:rPr>
        <w:t>Levigation</w:t>
      </w:r>
      <w:proofErr w:type="spellEnd"/>
      <w:r w:rsidRPr="008410B5">
        <w:rPr>
          <w:rFonts w:ascii="Times New Roman" w:eastAsia="Times New Roman" w:hAnsi="Times New Roman" w:cs="Times New Roman"/>
          <w:b/>
          <w:bCs/>
          <w:color w:val="332E20"/>
          <w:sz w:val="24"/>
          <w:szCs w:val="24"/>
        </w:rPr>
        <w:t xml:space="preserve"> </w:t>
      </w:r>
      <w:r w:rsidRPr="008410B5">
        <w:rPr>
          <w:rFonts w:ascii="Times New Roman" w:eastAsia="Times New Roman" w:hAnsi="Times New Roman" w:cs="Times New Roman"/>
          <w:color w:val="332E20"/>
          <w:sz w:val="24"/>
          <w:szCs w:val="24"/>
        </w:rPr>
        <w:t xml:space="preserve">reduces the particle size by triturating it in a mortar or </w:t>
      </w:r>
      <w:proofErr w:type="spellStart"/>
      <w:r w:rsidRPr="008410B5">
        <w:rPr>
          <w:rFonts w:ascii="Times New Roman" w:eastAsia="Times New Roman" w:hAnsi="Times New Roman" w:cs="Times New Roman"/>
          <w:color w:val="332E20"/>
          <w:sz w:val="24"/>
          <w:szCs w:val="24"/>
        </w:rPr>
        <w:t>spatulating</w:t>
      </w:r>
      <w:proofErr w:type="spellEnd"/>
      <w:r w:rsidRPr="008410B5">
        <w:rPr>
          <w:rFonts w:ascii="Times New Roman" w:eastAsia="Times New Roman" w:hAnsi="Times New Roman" w:cs="Times New Roman"/>
          <w:color w:val="332E20"/>
          <w:sz w:val="24"/>
          <w:szCs w:val="24"/>
        </w:rPr>
        <w:t xml:space="preserve"> it on an ointment slab or pad with a small amount of a liquid in which the solid is not soluble. The solvent should be somewhat viscous such as mineral oil or glycerin. This method is also used to reduce the particle size of insoluble materials when compounding ointments and suspensions.</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b/>
          <w:color w:val="332E20"/>
          <w:sz w:val="24"/>
          <w:szCs w:val="24"/>
        </w:rPr>
      </w:pPr>
      <w:r w:rsidRPr="008410B5">
        <w:rPr>
          <w:rFonts w:ascii="Times New Roman" w:eastAsia="Times New Roman" w:hAnsi="Times New Roman" w:cs="Times New Roman"/>
          <w:b/>
          <w:color w:val="332E20"/>
          <w:sz w:val="24"/>
          <w:szCs w:val="24"/>
        </w:rPr>
        <w:t>Classification of Powders</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b/>
          <w:color w:val="332E20"/>
          <w:sz w:val="24"/>
          <w:szCs w:val="24"/>
        </w:rPr>
      </w:pPr>
      <w:r w:rsidRPr="008410B5">
        <w:rPr>
          <w:rFonts w:ascii="Times New Roman" w:eastAsia="Times New Roman" w:hAnsi="Times New Roman" w:cs="Times New Roman"/>
          <w:b/>
          <w:color w:val="332E20"/>
          <w:sz w:val="24"/>
          <w:szCs w:val="24"/>
        </w:rPr>
        <w:t>Bulk Powders</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 xml:space="preserve">Bulk powders are </w:t>
      </w:r>
      <w:r w:rsidRPr="008410B5">
        <w:rPr>
          <w:rFonts w:ascii="Times New Roman" w:eastAsia="Times New Roman" w:hAnsi="Times New Roman" w:cs="Times New Roman"/>
          <w:color w:val="332E20"/>
          <w:sz w:val="24"/>
          <w:szCs w:val="24"/>
        </w:rPr>
        <w:t>non</w:t>
      </w:r>
      <w:r>
        <w:rPr>
          <w:rFonts w:ascii="Times New Roman" w:eastAsia="Times New Roman" w:hAnsi="Times New Roman" w:cs="Times New Roman"/>
          <w:color w:val="332E20"/>
          <w:sz w:val="24"/>
          <w:szCs w:val="24"/>
        </w:rPr>
        <w:t>-</w:t>
      </w:r>
      <w:r w:rsidRPr="008410B5">
        <w:rPr>
          <w:rFonts w:ascii="Times New Roman" w:eastAsia="Times New Roman" w:hAnsi="Times New Roman" w:cs="Times New Roman"/>
          <w:color w:val="332E20"/>
          <w:sz w:val="24"/>
          <w:szCs w:val="24"/>
        </w:rPr>
        <w:t>potent</w:t>
      </w:r>
      <w:r w:rsidRPr="008410B5">
        <w:rPr>
          <w:rFonts w:ascii="Times New Roman" w:eastAsia="Times New Roman" w:hAnsi="Times New Roman" w:cs="Times New Roman"/>
          <w:color w:val="332E20"/>
          <w:sz w:val="24"/>
          <w:szCs w:val="24"/>
        </w:rPr>
        <w:t xml:space="preserve"> and can be dosed with acceptable accuracy and safety using measuring devices such as the teaspoon, cup, or insufflator. This practically limits the use of orally administered bulk powders to antacids, dietary supplements, laxatives, and a few analgesics. Many bulk powders are used topically.</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b/>
          <w:color w:val="332E20"/>
          <w:sz w:val="24"/>
          <w:szCs w:val="24"/>
        </w:rPr>
      </w:pPr>
      <w:r w:rsidRPr="008410B5">
        <w:rPr>
          <w:rFonts w:ascii="Times New Roman" w:eastAsia="Times New Roman" w:hAnsi="Times New Roman" w:cs="Times New Roman"/>
          <w:b/>
          <w:color w:val="332E20"/>
          <w:sz w:val="24"/>
          <w:szCs w:val="24"/>
        </w:rPr>
        <w:t xml:space="preserve">Dusting Powders </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 xml:space="preserve">Dusting powders are fine medicinal (bulk) powders intended to be dusted on the skin by means of sifter-top containers. A single medicinal agent may be used as a dusting powder; however, a base is frequently used to apply a medicinal agent and to protect the skin from irritation and friction. </w:t>
      </w:r>
      <w:proofErr w:type="spellStart"/>
      <w:r w:rsidRPr="008410B5">
        <w:rPr>
          <w:rFonts w:ascii="Times New Roman" w:eastAsia="Times New Roman" w:hAnsi="Times New Roman" w:cs="Times New Roman"/>
          <w:color w:val="332E20"/>
          <w:sz w:val="24"/>
          <w:szCs w:val="24"/>
        </w:rPr>
        <w:t>Bentonite</w:t>
      </w:r>
      <w:proofErr w:type="spellEnd"/>
      <w:r w:rsidRPr="008410B5">
        <w:rPr>
          <w:rFonts w:ascii="Times New Roman" w:eastAsia="Times New Roman" w:hAnsi="Times New Roman" w:cs="Times New Roman"/>
          <w:color w:val="332E20"/>
          <w:sz w:val="24"/>
          <w:szCs w:val="24"/>
        </w:rPr>
        <w:t xml:space="preserve">, kaolin, </w:t>
      </w:r>
      <w:proofErr w:type="spellStart"/>
      <w:r w:rsidRPr="008410B5">
        <w:rPr>
          <w:rFonts w:ascii="Times New Roman" w:eastAsia="Times New Roman" w:hAnsi="Times New Roman" w:cs="Times New Roman"/>
          <w:color w:val="332E20"/>
          <w:sz w:val="24"/>
          <w:szCs w:val="24"/>
        </w:rPr>
        <w:t>kieselguhr</w:t>
      </w:r>
      <w:proofErr w:type="spellEnd"/>
      <w:r w:rsidRPr="008410B5">
        <w:rPr>
          <w:rFonts w:ascii="Times New Roman" w:eastAsia="Times New Roman" w:hAnsi="Times New Roman" w:cs="Times New Roman"/>
          <w:color w:val="332E20"/>
          <w:sz w:val="24"/>
          <w:szCs w:val="24"/>
        </w:rPr>
        <w:t xml:space="preserve">, magnesium carbonate, starch, and talc are used as inert bases for dusting powders. Powder bases absorb secretions and exert a drying effect, which relieves congestion and imparts a cooling sensation. All extemporaneous dusting powders should be passed through a 100-200 mesh sieve to ensure that they are grit free and will not further mechanically irritate traumatized areas. </w:t>
      </w:r>
    </w:p>
    <w:p w:rsidR="008410B5" w:rsidRPr="008410B5" w:rsidRDefault="008410B5" w:rsidP="008410B5">
      <w:pPr>
        <w:spacing w:before="100" w:beforeAutospacing="1" w:after="100" w:afterAutospacing="1" w:line="360" w:lineRule="auto"/>
        <w:ind w:left="1020"/>
        <w:jc w:val="both"/>
        <w:rPr>
          <w:rFonts w:ascii="Times New Roman" w:eastAsia="Times New Roman" w:hAnsi="Times New Roman" w:cs="Times New Roman"/>
          <w:color w:val="332E20"/>
          <w:sz w:val="24"/>
          <w:szCs w:val="24"/>
        </w:rPr>
      </w:pP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b/>
          <w:color w:val="332E20"/>
          <w:sz w:val="24"/>
          <w:szCs w:val="24"/>
        </w:rPr>
      </w:pPr>
      <w:r w:rsidRPr="008410B5">
        <w:rPr>
          <w:rFonts w:ascii="Times New Roman" w:eastAsia="Times New Roman" w:hAnsi="Times New Roman" w:cs="Times New Roman"/>
          <w:b/>
          <w:color w:val="332E20"/>
          <w:sz w:val="24"/>
          <w:szCs w:val="24"/>
        </w:rPr>
        <w:t>Douche Powders</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Douche powders are used to prepare solutions that cleanse the vagina. Most douche powders are used for their hygienic effects, but a few contain antibiotics.</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 xml:space="preserve">Douche powders are prescribed as a matter of convenience for the patient, since a powder is more portable than a bulky solution. The formula is developed so that a teaspoonful or tablespoonful of powder dissolved in a specified volume of water provides the desired concentration. The pH usually ranges from 3.5 to 5 when the solution is prepared. Feminine bulb syringes or fountain syringes are used for vaginal irrigation. Since many of the ingredients are volatile (e.g., menthol, </w:t>
      </w:r>
      <w:proofErr w:type="spellStart"/>
      <w:r w:rsidRPr="008410B5">
        <w:rPr>
          <w:rFonts w:ascii="Times New Roman" w:eastAsia="Times New Roman" w:hAnsi="Times New Roman" w:cs="Times New Roman"/>
          <w:color w:val="332E20"/>
          <w:sz w:val="24"/>
          <w:szCs w:val="24"/>
        </w:rPr>
        <w:t>thymol</w:t>
      </w:r>
      <w:proofErr w:type="spellEnd"/>
      <w:r w:rsidRPr="008410B5">
        <w:rPr>
          <w:rFonts w:ascii="Times New Roman" w:eastAsia="Times New Roman" w:hAnsi="Times New Roman" w:cs="Times New Roman"/>
          <w:color w:val="332E20"/>
          <w:sz w:val="24"/>
          <w:szCs w:val="24"/>
        </w:rPr>
        <w:t xml:space="preserve">, and volatile oils), douche powders should be packaged in glass jars with a wide mouth. Some commercial douche powders are available in metal foil packets, which contain the proper amount of powder for a single douche. Many douches are also available as prepared unit of use solutions in disposable applicators. </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b/>
          <w:color w:val="332E20"/>
          <w:sz w:val="24"/>
          <w:szCs w:val="24"/>
        </w:rPr>
      </w:pPr>
      <w:r w:rsidRPr="008410B5">
        <w:rPr>
          <w:rFonts w:ascii="Times New Roman" w:eastAsia="Times New Roman" w:hAnsi="Times New Roman" w:cs="Times New Roman"/>
          <w:b/>
          <w:color w:val="332E20"/>
          <w:sz w:val="24"/>
          <w:szCs w:val="24"/>
        </w:rPr>
        <w:t>Insufflations</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 xml:space="preserve">Insufflations are extremely fine powders to be introduced into body cavities. To administer an insufflation, the powder is placed in the insufflator, and when the bulb is squeezed, the air current carries the fine particles through the nozzle to the region for which the medication is intended. All extemporaneously compounded insufflations must be passed through a 100 mesh sieve. Pressurized packages provide an elegant approach to the administration of insufflations. </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b/>
          <w:color w:val="332E20"/>
          <w:sz w:val="24"/>
          <w:szCs w:val="24"/>
        </w:rPr>
      </w:pPr>
      <w:r w:rsidRPr="008410B5">
        <w:rPr>
          <w:rFonts w:ascii="Times New Roman" w:eastAsia="Times New Roman" w:hAnsi="Times New Roman" w:cs="Times New Roman"/>
          <w:b/>
          <w:color w:val="332E20"/>
          <w:sz w:val="24"/>
          <w:szCs w:val="24"/>
        </w:rPr>
        <w:t>Powder Sprays</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In contrast to dusting powders, powders dispensed under pressure will deliver targeted and uniform application at the desired site. Also, in an aerosol container medicated powders may be maintained in a sterile condition. The powder particles must be a definite size range to prevent clogging of the valve orifice and to provide uniformity of application. In general, powders that are to be packaged as powder sprays must not contain particles greater than 50 microns if they are to be sprayed successfully.</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b/>
          <w:color w:val="332E20"/>
          <w:sz w:val="24"/>
          <w:szCs w:val="24"/>
        </w:rPr>
      </w:pPr>
      <w:r w:rsidRPr="008410B5">
        <w:rPr>
          <w:rFonts w:ascii="Times New Roman" w:eastAsia="Times New Roman" w:hAnsi="Times New Roman" w:cs="Times New Roman"/>
          <w:b/>
          <w:color w:val="332E20"/>
          <w:sz w:val="24"/>
          <w:szCs w:val="24"/>
        </w:rPr>
        <w:lastRenderedPageBreak/>
        <w:t>Divided Powders (</w:t>
      </w:r>
      <w:proofErr w:type="spellStart"/>
      <w:r w:rsidRPr="008410B5">
        <w:rPr>
          <w:rFonts w:ascii="Times New Roman" w:eastAsia="Times New Roman" w:hAnsi="Times New Roman" w:cs="Times New Roman"/>
          <w:b/>
          <w:color w:val="332E20"/>
          <w:sz w:val="24"/>
          <w:szCs w:val="24"/>
        </w:rPr>
        <w:t>Chartulae</w:t>
      </w:r>
      <w:proofErr w:type="spellEnd"/>
      <w:r w:rsidRPr="008410B5">
        <w:rPr>
          <w:rFonts w:ascii="Times New Roman" w:eastAsia="Times New Roman" w:hAnsi="Times New Roman" w:cs="Times New Roman"/>
          <w:b/>
          <w:color w:val="332E20"/>
          <w:sz w:val="24"/>
          <w:szCs w:val="24"/>
        </w:rPr>
        <w:t>; Charts; Powder Papers)</w:t>
      </w:r>
    </w:p>
    <w:p w:rsid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 xml:space="preserve">Divided powders or charts are single doses of powdered </w:t>
      </w:r>
      <w:proofErr w:type="spellStart"/>
      <w:r w:rsidRPr="008410B5">
        <w:rPr>
          <w:rFonts w:ascii="Times New Roman" w:eastAsia="Times New Roman" w:hAnsi="Times New Roman" w:cs="Times New Roman"/>
          <w:color w:val="332E20"/>
          <w:sz w:val="24"/>
          <w:szCs w:val="24"/>
        </w:rPr>
        <w:t>medicinals</w:t>
      </w:r>
      <w:proofErr w:type="spellEnd"/>
      <w:r w:rsidRPr="008410B5">
        <w:rPr>
          <w:rFonts w:ascii="Times New Roman" w:eastAsia="Times New Roman" w:hAnsi="Times New Roman" w:cs="Times New Roman"/>
          <w:color w:val="332E20"/>
          <w:sz w:val="24"/>
          <w:szCs w:val="24"/>
        </w:rPr>
        <w:t xml:space="preserve"> individually wrapped in cellophane, metallic foil, or paper. The divided powder is a more accurate dosage form than bulk powder because the patient is not involved in measurement of the dose. Cellophane and foil-enclosed powders are better protected from the external environment until the time of administration than paper-enclosed powders.</w:t>
      </w:r>
      <w:r>
        <w:rPr>
          <w:rFonts w:ascii="Times New Roman" w:eastAsia="Times New Roman" w:hAnsi="Times New Roman" w:cs="Times New Roman"/>
          <w:color w:val="332E20"/>
          <w:sz w:val="24"/>
          <w:szCs w:val="24"/>
        </w:rPr>
        <w:t xml:space="preserve"> </w:t>
      </w:r>
      <w:r w:rsidRPr="008410B5">
        <w:rPr>
          <w:rFonts w:ascii="Times New Roman" w:eastAsia="Times New Roman" w:hAnsi="Times New Roman" w:cs="Times New Roman"/>
          <w:color w:val="332E20"/>
          <w:sz w:val="24"/>
          <w:szCs w:val="24"/>
        </w:rPr>
        <w:t>Divided powders are commercially available in foil, cellophane or paper packs.</w:t>
      </w:r>
    </w:p>
    <w:p w:rsidR="008410B5" w:rsidRPr="008410B5" w:rsidRDefault="008410B5" w:rsidP="008410B5">
      <w:pPr>
        <w:spacing w:after="0" w:line="360" w:lineRule="auto"/>
        <w:jc w:val="both"/>
        <w:outlineLvl w:val="1"/>
        <w:rPr>
          <w:rFonts w:ascii="Times New Roman" w:eastAsia="Times New Roman" w:hAnsi="Times New Roman" w:cs="Times New Roman"/>
          <w:b/>
          <w:bCs/>
          <w:color w:val="332E20"/>
          <w:sz w:val="24"/>
          <w:szCs w:val="24"/>
        </w:rPr>
      </w:pPr>
      <w:r w:rsidRPr="008410B5">
        <w:rPr>
          <w:rFonts w:ascii="Times New Roman" w:eastAsia="Times New Roman" w:hAnsi="Times New Roman" w:cs="Times New Roman"/>
          <w:b/>
          <w:bCs/>
          <w:color w:val="332E20"/>
          <w:sz w:val="24"/>
          <w:szCs w:val="24"/>
        </w:rPr>
        <w:t>Granulations</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 xml:space="preserve">Granules are particles ranging in size from about 4 to 10 </w:t>
      </w:r>
      <w:proofErr w:type="gramStart"/>
      <w:r w:rsidRPr="008410B5">
        <w:rPr>
          <w:rFonts w:ascii="Times New Roman" w:eastAsia="Times New Roman" w:hAnsi="Times New Roman" w:cs="Times New Roman"/>
          <w:color w:val="332E20"/>
          <w:sz w:val="24"/>
          <w:szCs w:val="24"/>
        </w:rPr>
        <w:t>mesh</w:t>
      </w:r>
      <w:proofErr w:type="gramEnd"/>
      <w:r w:rsidRPr="008410B5">
        <w:rPr>
          <w:rFonts w:ascii="Times New Roman" w:eastAsia="Times New Roman" w:hAnsi="Times New Roman" w:cs="Times New Roman"/>
          <w:color w:val="332E20"/>
          <w:sz w:val="24"/>
          <w:szCs w:val="24"/>
        </w:rPr>
        <w:t xml:space="preserve">. Granules generally are made by first blending the powders together and then moistening the mixture to form a pasty mass. The mass is passed through a sieve and then dried in air or in an oven. They are prepared as a convenience for packaging, as a more stable product due to less surface exposure, and as a popular dosage form. Granulations are also used as intermediates in the preparation of capsules and tablets, since they flow more smoothly and predictably than do small powder particles. </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 xml:space="preserve">The most popular compounded granulation is the effervescent powder (sometimes called effervescent salts). These granulations are popular due to their taste and psychological impression. When added to water, the granulation effervesces ("fizzes") as carbon dioxide is liberated. </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b/>
          <w:bCs/>
          <w:color w:val="332E20"/>
          <w:sz w:val="24"/>
          <w:szCs w:val="24"/>
        </w:rPr>
        <w:t>Preparation of Effervescent Granulation</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 xml:space="preserve">It has been found that citric acid monohydrate and tartaric acid used in the ratio of 1:2, respectively, produces a powder with good effervescent properties. Citric acid monohydrate is not used alone because it results in a sticky mixture that will not easily granulate. Tartaric acid is not used alone because the granules are too friable and crumble. The amount of sodium bicarbonate to be used may be calculated from the </w:t>
      </w:r>
      <w:proofErr w:type="gramStart"/>
      <w:r w:rsidRPr="008410B5">
        <w:rPr>
          <w:rFonts w:ascii="Times New Roman" w:eastAsia="Times New Roman" w:hAnsi="Times New Roman" w:cs="Times New Roman"/>
          <w:color w:val="332E20"/>
          <w:sz w:val="24"/>
          <w:szCs w:val="24"/>
        </w:rPr>
        <w:t>reaction which occur</w:t>
      </w:r>
      <w:proofErr w:type="gramEnd"/>
      <w:r w:rsidRPr="008410B5">
        <w:rPr>
          <w:rFonts w:ascii="Times New Roman" w:eastAsia="Times New Roman" w:hAnsi="Times New Roman" w:cs="Times New Roman"/>
          <w:color w:val="332E20"/>
          <w:sz w:val="24"/>
          <w:szCs w:val="24"/>
        </w:rPr>
        <w:t xml:space="preserve"> when the granules come in contact with water. The reaction equation between citric monohydrate and sodium bicarbonate is given below: </w:t>
      </w:r>
    </w:p>
    <w:p w:rsidR="008410B5" w:rsidRPr="008410B5" w:rsidRDefault="008410B5" w:rsidP="008410B5">
      <w:pPr>
        <w:spacing w:after="0" w:line="270" w:lineRule="atLeast"/>
        <w:rPr>
          <w:rFonts w:ascii="Verdana" w:eastAsia="Times New Roman" w:hAnsi="Verdana" w:cs="Times New Roman"/>
          <w:color w:val="332E20"/>
          <w:sz w:val="18"/>
          <w:szCs w:val="18"/>
        </w:rPr>
      </w:pPr>
      <w:r w:rsidRPr="008410B5">
        <w:rPr>
          <w:rFonts w:ascii="Verdana" w:eastAsia="Times New Roman" w:hAnsi="Verdana" w:cs="Times New Roman"/>
          <w:noProof/>
          <w:color w:val="332E20"/>
          <w:sz w:val="18"/>
          <w:szCs w:val="18"/>
        </w:rPr>
        <w:lastRenderedPageBreak/>
        <w:drawing>
          <wp:inline distT="0" distB="0" distL="0" distR="0" wp14:anchorId="78B99BEB" wp14:editId="039F896D">
            <wp:extent cx="5111750" cy="1112520"/>
            <wp:effectExtent l="0" t="0" r="0" b="0"/>
            <wp:docPr id="4" name="Picture 4" descr="Reaction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ction Equ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1750" cy="1112520"/>
                    </a:xfrm>
                    <a:prstGeom prst="rect">
                      <a:avLst/>
                    </a:prstGeom>
                    <a:noFill/>
                    <a:ln>
                      <a:noFill/>
                    </a:ln>
                  </pic:spPr>
                </pic:pic>
              </a:graphicData>
            </a:graphic>
          </wp:inline>
        </w:drawing>
      </w:r>
    </w:p>
    <w:p w:rsidR="008410B5" w:rsidRPr="008410B5" w:rsidRDefault="008410B5" w:rsidP="008410B5">
      <w:pPr>
        <w:spacing w:before="100" w:beforeAutospacing="1" w:after="100" w:afterAutospacing="1" w:line="270" w:lineRule="atLeast"/>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 xml:space="preserve">Setting up a proportion to determine the amount of sodium bicarbonate that will react with 1 </w:t>
      </w:r>
      <w:proofErr w:type="spellStart"/>
      <w:r w:rsidRPr="008410B5">
        <w:rPr>
          <w:rFonts w:ascii="Times New Roman" w:eastAsia="Times New Roman" w:hAnsi="Times New Roman" w:cs="Times New Roman"/>
          <w:color w:val="332E20"/>
          <w:sz w:val="24"/>
          <w:szCs w:val="24"/>
        </w:rPr>
        <w:t>gm</w:t>
      </w:r>
      <w:proofErr w:type="spellEnd"/>
      <w:r w:rsidRPr="008410B5">
        <w:rPr>
          <w:rFonts w:ascii="Times New Roman" w:eastAsia="Times New Roman" w:hAnsi="Times New Roman" w:cs="Times New Roman"/>
          <w:color w:val="332E20"/>
          <w:sz w:val="24"/>
          <w:szCs w:val="24"/>
        </w:rPr>
        <w:t xml:space="preserve"> of citric acid, one has:</w:t>
      </w:r>
    </w:p>
    <w:p w:rsidR="008410B5" w:rsidRPr="008410B5" w:rsidRDefault="008410B5" w:rsidP="008410B5">
      <w:pPr>
        <w:spacing w:after="0" w:line="270" w:lineRule="atLeast"/>
        <w:rPr>
          <w:rFonts w:ascii="Verdana" w:eastAsia="Times New Roman" w:hAnsi="Verdana" w:cs="Times New Roman"/>
          <w:color w:val="332E20"/>
          <w:sz w:val="18"/>
          <w:szCs w:val="18"/>
        </w:rPr>
      </w:pPr>
      <w:r w:rsidRPr="008410B5">
        <w:rPr>
          <w:rFonts w:ascii="Verdana" w:eastAsia="Times New Roman" w:hAnsi="Verdana" w:cs="Times New Roman"/>
          <w:noProof/>
          <w:color w:val="332E20"/>
          <w:sz w:val="18"/>
          <w:szCs w:val="18"/>
        </w:rPr>
        <w:drawing>
          <wp:inline distT="0" distB="0" distL="0" distR="0" wp14:anchorId="44310611" wp14:editId="27C299F0">
            <wp:extent cx="4814570" cy="815340"/>
            <wp:effectExtent l="0" t="0" r="5080" b="3810"/>
            <wp:docPr id="5" name="Picture 5"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4570" cy="815340"/>
                    </a:xfrm>
                    <a:prstGeom prst="rect">
                      <a:avLst/>
                    </a:prstGeom>
                    <a:noFill/>
                    <a:ln>
                      <a:noFill/>
                    </a:ln>
                  </pic:spPr>
                </pic:pic>
              </a:graphicData>
            </a:graphic>
          </wp:inline>
        </w:drawing>
      </w:r>
    </w:p>
    <w:p w:rsidR="008410B5" w:rsidRPr="008410B5" w:rsidRDefault="008410B5" w:rsidP="008410B5">
      <w:pPr>
        <w:spacing w:before="100" w:beforeAutospacing="1" w:after="100" w:afterAutospacing="1" w:line="270" w:lineRule="atLeast"/>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 xml:space="preserve">Similar calculations show that 2.24 </w:t>
      </w:r>
      <w:proofErr w:type="spellStart"/>
      <w:r w:rsidRPr="008410B5">
        <w:rPr>
          <w:rFonts w:ascii="Times New Roman" w:eastAsia="Times New Roman" w:hAnsi="Times New Roman" w:cs="Times New Roman"/>
          <w:color w:val="332E20"/>
          <w:sz w:val="24"/>
          <w:szCs w:val="24"/>
        </w:rPr>
        <w:t>gm</w:t>
      </w:r>
      <w:proofErr w:type="spellEnd"/>
      <w:r w:rsidRPr="008410B5">
        <w:rPr>
          <w:rFonts w:ascii="Times New Roman" w:eastAsia="Times New Roman" w:hAnsi="Times New Roman" w:cs="Times New Roman"/>
          <w:color w:val="332E20"/>
          <w:sz w:val="24"/>
          <w:szCs w:val="24"/>
        </w:rPr>
        <w:t xml:space="preserve"> of sodium bicarbonate react with 2 </w:t>
      </w:r>
      <w:proofErr w:type="spellStart"/>
      <w:r w:rsidRPr="008410B5">
        <w:rPr>
          <w:rFonts w:ascii="Times New Roman" w:eastAsia="Times New Roman" w:hAnsi="Times New Roman" w:cs="Times New Roman"/>
          <w:color w:val="332E20"/>
          <w:sz w:val="24"/>
          <w:szCs w:val="24"/>
        </w:rPr>
        <w:t>gm</w:t>
      </w:r>
      <w:proofErr w:type="spellEnd"/>
      <w:r w:rsidRPr="008410B5">
        <w:rPr>
          <w:rFonts w:ascii="Times New Roman" w:eastAsia="Times New Roman" w:hAnsi="Times New Roman" w:cs="Times New Roman"/>
          <w:color w:val="332E20"/>
          <w:sz w:val="24"/>
          <w:szCs w:val="24"/>
        </w:rPr>
        <w:t xml:space="preserve"> of tartaric acid.</w:t>
      </w:r>
    </w:p>
    <w:p w:rsidR="008410B5" w:rsidRPr="008410B5" w:rsidRDefault="008410B5" w:rsidP="008410B5">
      <w:pPr>
        <w:spacing w:after="0" w:line="270" w:lineRule="atLeast"/>
        <w:rPr>
          <w:rFonts w:ascii="Verdana" w:eastAsia="Times New Roman" w:hAnsi="Verdana" w:cs="Times New Roman"/>
          <w:color w:val="332E20"/>
          <w:sz w:val="18"/>
          <w:szCs w:val="18"/>
        </w:rPr>
      </w:pPr>
      <w:r w:rsidRPr="008410B5">
        <w:rPr>
          <w:rFonts w:ascii="Verdana" w:eastAsia="Times New Roman" w:hAnsi="Verdana" w:cs="Times New Roman"/>
          <w:noProof/>
          <w:color w:val="332E20"/>
          <w:sz w:val="18"/>
          <w:szCs w:val="18"/>
        </w:rPr>
        <w:drawing>
          <wp:inline distT="0" distB="0" distL="0" distR="0" wp14:anchorId="5475FFB2" wp14:editId="4DDF381D">
            <wp:extent cx="4164330" cy="1464945"/>
            <wp:effectExtent l="0" t="0" r="7620" b="1905"/>
            <wp:docPr id="6" name="Picture 6" descr="Reaction equ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ction equatio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4330" cy="1464945"/>
                    </a:xfrm>
                    <a:prstGeom prst="rect">
                      <a:avLst/>
                    </a:prstGeom>
                    <a:noFill/>
                    <a:ln>
                      <a:noFill/>
                    </a:ln>
                  </pic:spPr>
                </pic:pic>
              </a:graphicData>
            </a:graphic>
          </wp:inline>
        </w:drawing>
      </w:r>
      <w:r w:rsidRPr="008410B5">
        <w:rPr>
          <w:rFonts w:ascii="Verdana" w:eastAsia="Times New Roman" w:hAnsi="Verdana" w:cs="Times New Roman"/>
          <w:noProof/>
          <w:color w:val="332E20"/>
          <w:sz w:val="18"/>
          <w:szCs w:val="18"/>
        </w:rPr>
        <w:drawing>
          <wp:inline distT="0" distB="0" distL="0" distR="0" wp14:anchorId="07789252" wp14:editId="379208D7">
            <wp:extent cx="3921760" cy="793115"/>
            <wp:effectExtent l="0" t="0" r="2540" b="6985"/>
            <wp:docPr id="7" name="Picture 7"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1760" cy="793115"/>
                    </a:xfrm>
                    <a:prstGeom prst="rect">
                      <a:avLst/>
                    </a:prstGeom>
                    <a:noFill/>
                    <a:ln>
                      <a:noFill/>
                    </a:ln>
                  </pic:spPr>
                </pic:pic>
              </a:graphicData>
            </a:graphic>
          </wp:inline>
        </w:drawing>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r w:rsidRPr="008410B5">
        <w:rPr>
          <w:rFonts w:ascii="Times New Roman" w:eastAsia="Times New Roman" w:hAnsi="Times New Roman" w:cs="Times New Roman"/>
          <w:color w:val="332E20"/>
          <w:sz w:val="24"/>
          <w:szCs w:val="24"/>
        </w:rPr>
        <w:t xml:space="preserve">Thus, with the acids in a ratio of 1:2, it has been calculated that 3.44 g (1.2 g + 2.24 g) of sodium bicarbonate is necessary to react </w:t>
      </w:r>
      <w:proofErr w:type="spellStart"/>
      <w:r w:rsidRPr="008410B5">
        <w:rPr>
          <w:rFonts w:ascii="Times New Roman" w:eastAsia="Times New Roman" w:hAnsi="Times New Roman" w:cs="Times New Roman"/>
          <w:color w:val="332E20"/>
          <w:sz w:val="24"/>
          <w:szCs w:val="24"/>
        </w:rPr>
        <w:t>stoichiometrically</w:t>
      </w:r>
      <w:proofErr w:type="spellEnd"/>
      <w:r w:rsidRPr="008410B5">
        <w:rPr>
          <w:rFonts w:ascii="Times New Roman" w:eastAsia="Times New Roman" w:hAnsi="Times New Roman" w:cs="Times New Roman"/>
          <w:color w:val="332E20"/>
          <w:sz w:val="24"/>
          <w:szCs w:val="24"/>
        </w:rPr>
        <w:t xml:space="preserve"> with the 3 g of combined acids. To enhance the flavor, the amount of sodium bicarbonate may be reduced to 3.4 </w:t>
      </w:r>
      <w:proofErr w:type="spellStart"/>
      <w:r w:rsidRPr="008410B5">
        <w:rPr>
          <w:rFonts w:ascii="Times New Roman" w:eastAsia="Times New Roman" w:hAnsi="Times New Roman" w:cs="Times New Roman"/>
          <w:color w:val="332E20"/>
          <w:sz w:val="24"/>
          <w:szCs w:val="24"/>
        </w:rPr>
        <w:t>gm</w:t>
      </w:r>
      <w:proofErr w:type="spellEnd"/>
      <w:r w:rsidRPr="008410B5">
        <w:rPr>
          <w:rFonts w:ascii="Times New Roman" w:eastAsia="Times New Roman" w:hAnsi="Times New Roman" w:cs="Times New Roman"/>
          <w:color w:val="332E20"/>
          <w:sz w:val="24"/>
          <w:szCs w:val="24"/>
        </w:rPr>
        <w:t xml:space="preserve"> to allow for a small amount of unreacted acid to provide a tart taste. </w:t>
      </w: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p>
    <w:p w:rsidR="008410B5" w:rsidRPr="008410B5" w:rsidRDefault="008410B5" w:rsidP="008410B5">
      <w:pPr>
        <w:spacing w:before="100" w:beforeAutospacing="1" w:after="100" w:afterAutospacing="1" w:line="360" w:lineRule="auto"/>
        <w:ind w:left="1020"/>
        <w:jc w:val="both"/>
        <w:rPr>
          <w:rFonts w:ascii="Times New Roman" w:eastAsia="Times New Roman" w:hAnsi="Times New Roman" w:cs="Times New Roman"/>
          <w:color w:val="332E20"/>
          <w:sz w:val="24"/>
          <w:szCs w:val="24"/>
        </w:rPr>
      </w:pPr>
    </w:p>
    <w:p w:rsidR="008410B5" w:rsidRPr="008410B5" w:rsidRDefault="008410B5" w:rsidP="008410B5">
      <w:pPr>
        <w:spacing w:before="100" w:beforeAutospacing="1" w:after="100" w:afterAutospacing="1" w:line="360" w:lineRule="auto"/>
        <w:jc w:val="both"/>
        <w:rPr>
          <w:rFonts w:ascii="Times New Roman" w:eastAsia="Times New Roman" w:hAnsi="Times New Roman" w:cs="Times New Roman"/>
          <w:color w:val="332E20"/>
          <w:sz w:val="24"/>
          <w:szCs w:val="24"/>
        </w:rPr>
      </w:pPr>
    </w:p>
    <w:p w:rsidR="00FC4E55" w:rsidRPr="008410B5" w:rsidRDefault="00FC4E55" w:rsidP="008410B5">
      <w:pPr>
        <w:spacing w:line="360" w:lineRule="auto"/>
        <w:jc w:val="both"/>
        <w:rPr>
          <w:rFonts w:ascii="Times New Roman" w:hAnsi="Times New Roman" w:cs="Times New Roman"/>
          <w:sz w:val="24"/>
          <w:szCs w:val="24"/>
        </w:rPr>
      </w:pPr>
    </w:p>
    <w:sectPr w:rsidR="00FC4E55" w:rsidRPr="008410B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F31" w:rsidRDefault="00565F31" w:rsidP="008410B5">
      <w:pPr>
        <w:spacing w:after="0" w:line="240" w:lineRule="auto"/>
      </w:pPr>
      <w:r>
        <w:separator/>
      </w:r>
    </w:p>
  </w:endnote>
  <w:endnote w:type="continuationSeparator" w:id="0">
    <w:p w:rsidR="00565F31" w:rsidRDefault="00565F31" w:rsidP="0084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422321"/>
      <w:docPartObj>
        <w:docPartGallery w:val="Page Numbers (Bottom of Page)"/>
        <w:docPartUnique/>
      </w:docPartObj>
    </w:sdtPr>
    <w:sdtEndPr>
      <w:rPr>
        <w:color w:val="808080" w:themeColor="background1" w:themeShade="80"/>
        <w:spacing w:val="60"/>
      </w:rPr>
    </w:sdtEndPr>
    <w:sdtContent>
      <w:p w:rsidR="008410B5" w:rsidRDefault="008410B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470FD" w:rsidRPr="007470FD">
          <w:rPr>
            <w:b/>
            <w:bCs/>
            <w:noProof/>
          </w:rPr>
          <w:t>1</w:t>
        </w:r>
        <w:r>
          <w:rPr>
            <w:b/>
            <w:bCs/>
            <w:noProof/>
          </w:rPr>
          <w:fldChar w:fldCharType="end"/>
        </w:r>
        <w:r>
          <w:rPr>
            <w:b/>
            <w:bCs/>
          </w:rPr>
          <w:t xml:space="preserve"> | </w:t>
        </w:r>
        <w:r>
          <w:rPr>
            <w:color w:val="808080" w:themeColor="background1" w:themeShade="80"/>
            <w:spacing w:val="60"/>
          </w:rPr>
          <w:t>Page</w:t>
        </w:r>
      </w:p>
    </w:sdtContent>
  </w:sdt>
  <w:p w:rsidR="008410B5" w:rsidRDefault="00841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F31" w:rsidRDefault="00565F31" w:rsidP="008410B5">
      <w:pPr>
        <w:spacing w:after="0" w:line="240" w:lineRule="auto"/>
      </w:pPr>
      <w:r>
        <w:separator/>
      </w:r>
    </w:p>
  </w:footnote>
  <w:footnote w:type="continuationSeparator" w:id="0">
    <w:p w:rsidR="00565F31" w:rsidRDefault="00565F31" w:rsidP="00841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0358"/>
    <w:multiLevelType w:val="multilevel"/>
    <w:tmpl w:val="088A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01516"/>
    <w:multiLevelType w:val="multilevel"/>
    <w:tmpl w:val="6540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BC721B"/>
    <w:multiLevelType w:val="multilevel"/>
    <w:tmpl w:val="72E8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0B5"/>
    <w:rsid w:val="001E7618"/>
    <w:rsid w:val="00565F31"/>
    <w:rsid w:val="007470FD"/>
    <w:rsid w:val="008410B5"/>
    <w:rsid w:val="00FC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0B5"/>
    <w:rPr>
      <w:rFonts w:ascii="Tahoma" w:hAnsi="Tahoma" w:cs="Tahoma"/>
      <w:sz w:val="16"/>
      <w:szCs w:val="16"/>
    </w:rPr>
  </w:style>
  <w:style w:type="paragraph" w:styleId="Header">
    <w:name w:val="header"/>
    <w:basedOn w:val="Normal"/>
    <w:link w:val="HeaderChar"/>
    <w:uiPriority w:val="99"/>
    <w:unhideWhenUsed/>
    <w:rsid w:val="00841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0B5"/>
  </w:style>
  <w:style w:type="paragraph" w:styleId="Footer">
    <w:name w:val="footer"/>
    <w:basedOn w:val="Normal"/>
    <w:link w:val="FooterChar"/>
    <w:uiPriority w:val="99"/>
    <w:unhideWhenUsed/>
    <w:rsid w:val="00841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0B5"/>
    <w:rPr>
      <w:rFonts w:ascii="Tahoma" w:hAnsi="Tahoma" w:cs="Tahoma"/>
      <w:sz w:val="16"/>
      <w:szCs w:val="16"/>
    </w:rPr>
  </w:style>
  <w:style w:type="paragraph" w:styleId="Header">
    <w:name w:val="header"/>
    <w:basedOn w:val="Normal"/>
    <w:link w:val="HeaderChar"/>
    <w:uiPriority w:val="99"/>
    <w:unhideWhenUsed/>
    <w:rsid w:val="00841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0B5"/>
  </w:style>
  <w:style w:type="paragraph" w:styleId="Footer">
    <w:name w:val="footer"/>
    <w:basedOn w:val="Normal"/>
    <w:link w:val="FooterChar"/>
    <w:uiPriority w:val="99"/>
    <w:unhideWhenUsed/>
    <w:rsid w:val="00841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05876">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926569883">
          <w:marLeft w:val="0"/>
          <w:marRight w:val="0"/>
          <w:marTop w:val="100"/>
          <w:marBottom w:val="100"/>
          <w:divBdr>
            <w:top w:val="none" w:sz="0" w:space="0" w:color="auto"/>
            <w:left w:val="none" w:sz="0" w:space="0" w:color="auto"/>
            <w:bottom w:val="none" w:sz="0" w:space="0" w:color="auto"/>
            <w:right w:val="none" w:sz="0" w:space="0" w:color="auto"/>
          </w:divBdr>
          <w:divsChild>
            <w:div w:id="481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4980">
      <w:bodyDiv w:val="1"/>
      <w:marLeft w:val="300"/>
      <w:marRight w:val="300"/>
      <w:marTop w:val="300"/>
      <w:marBottom w:val="300"/>
      <w:divBdr>
        <w:top w:val="none" w:sz="0" w:space="0" w:color="auto"/>
        <w:left w:val="none" w:sz="0" w:space="0" w:color="auto"/>
        <w:bottom w:val="none" w:sz="0" w:space="0" w:color="auto"/>
        <w:right w:val="none" w:sz="0" w:space="0" w:color="auto"/>
      </w:divBdr>
      <w:divsChild>
        <w:div w:id="666447100">
          <w:marLeft w:val="0"/>
          <w:marRight w:val="0"/>
          <w:marTop w:val="100"/>
          <w:marBottom w:val="100"/>
          <w:divBdr>
            <w:top w:val="none" w:sz="0" w:space="0" w:color="auto"/>
            <w:left w:val="none" w:sz="0" w:space="0" w:color="auto"/>
            <w:bottom w:val="none" w:sz="0" w:space="0" w:color="auto"/>
            <w:right w:val="none" w:sz="0" w:space="0" w:color="auto"/>
          </w:divBdr>
          <w:divsChild>
            <w:div w:id="18358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744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533998912">
          <w:marLeft w:val="0"/>
          <w:marRight w:val="0"/>
          <w:marTop w:val="100"/>
          <w:marBottom w:val="100"/>
          <w:divBdr>
            <w:top w:val="none" w:sz="0" w:space="0" w:color="auto"/>
            <w:left w:val="none" w:sz="0" w:space="0" w:color="auto"/>
            <w:bottom w:val="none" w:sz="0" w:space="0" w:color="auto"/>
            <w:right w:val="none" w:sz="0" w:space="0" w:color="auto"/>
          </w:divBdr>
          <w:divsChild>
            <w:div w:id="399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2020-05-05T06:00:00Z</dcterms:created>
  <dcterms:modified xsi:type="dcterms:W3CDTF">2020-05-05T06:00:00Z</dcterms:modified>
</cp:coreProperties>
</file>