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226D3" w14:textId="21B82D9F" w:rsidR="002D08DD" w:rsidRPr="00486896" w:rsidRDefault="002D08DD" w:rsidP="002D08DD">
      <w:pPr>
        <w:rPr>
          <w:b/>
          <w:bCs/>
        </w:rPr>
      </w:pPr>
      <w:r w:rsidRPr="00F91769">
        <w:rPr>
          <w:b/>
          <w:bCs/>
        </w:rPr>
        <w:t>Art of the Abbasid Period (750–1258)</w:t>
      </w:r>
    </w:p>
    <w:p w14:paraId="2684C4E3" w14:textId="51759392" w:rsidR="00F0799D" w:rsidRDefault="002D08DD" w:rsidP="002D08DD">
      <w:r>
        <w:t xml:space="preserve">According to the Metropolitan Museum of Art: During the </w:t>
      </w:r>
      <w:r w:rsidRPr="00C74A49">
        <w:rPr>
          <w:color w:val="FF0000"/>
        </w:rPr>
        <w:t>Abbasid period, “a distinctive style emerged and new techniques were developed that spread throughout the Muslim realm and greatly influenced Islamic art and architecture</w:t>
      </w:r>
      <w:r>
        <w:t>. “Since the style set by the capital was used throughout the Muslim world</w:t>
      </w:r>
      <w:r w:rsidRPr="00547E39">
        <w:rPr>
          <w:color w:val="FF0000"/>
        </w:rPr>
        <w:t xml:space="preserve">, Baghdad and Samarra’ became associated with the new artistic and architectural </w:t>
      </w:r>
      <w:r>
        <w:t xml:space="preserve">trend. [Source: </w:t>
      </w:r>
      <w:proofErr w:type="spellStart"/>
      <w:r>
        <w:t>Yalman</w:t>
      </w:r>
      <w:proofErr w:type="spellEnd"/>
      <w:r>
        <w:t xml:space="preserve">, Suzan. Based on original work by Linda </w:t>
      </w:r>
      <w:proofErr w:type="spellStart"/>
      <w:r>
        <w:t>Komaroff</w:t>
      </w:r>
      <w:proofErr w:type="spellEnd"/>
      <w:r>
        <w:t>. "The Art of the Abbasid Period (750–1258)" Metropolitan Museum of Art metmuseum.org \^/]</w:t>
      </w:r>
    </w:p>
    <w:p w14:paraId="4EE549CC" w14:textId="560D5053" w:rsidR="002D08DD" w:rsidRDefault="002D08DD" w:rsidP="002D08DD">
      <w:r w:rsidRPr="002D08DD">
        <w:t xml:space="preserve">“As virtually nothing remains from Abbasid Baghdad today, the site of Samarra’ is particularly significant for understanding the art and architecture of the Abbasid period. In Samarra’, a new way of carving surfaces, the so-called </w:t>
      </w:r>
      <w:r w:rsidR="001A1922" w:rsidRPr="002D08DD">
        <w:t>bevelled</w:t>
      </w:r>
      <w:r w:rsidRPr="002D08DD">
        <w:t xml:space="preserve"> style, as well as a repetition </w:t>
      </w:r>
      <w:r w:rsidRPr="002C7FEA">
        <w:rPr>
          <w:color w:val="FF0000"/>
        </w:rPr>
        <w:t xml:space="preserve">of abstract geometric </w:t>
      </w:r>
      <w:r w:rsidRPr="002D08DD">
        <w:t>or pseudo-</w:t>
      </w:r>
      <w:r w:rsidRPr="002C7FEA">
        <w:rPr>
          <w:color w:val="FF0000"/>
        </w:rPr>
        <w:t>vegetal forms</w:t>
      </w:r>
      <w:r w:rsidRPr="002D08DD">
        <w:t xml:space="preserve">, later to be known in the West as </w:t>
      </w:r>
      <w:r w:rsidRPr="002C7FEA">
        <w:rPr>
          <w:color w:val="FF0000"/>
        </w:rPr>
        <w:t>"arabesque</w:t>
      </w:r>
      <w:r w:rsidRPr="002D08DD">
        <w:t xml:space="preserve">," were widely </w:t>
      </w:r>
      <w:r w:rsidRPr="00D0412F">
        <w:rPr>
          <w:color w:val="FF0000"/>
        </w:rPr>
        <w:t>used as wall decoration and became popular in other media such as wood, metalwork, and pottery</w:t>
      </w:r>
      <w:r w:rsidRPr="002D08DD">
        <w:t xml:space="preserve">. In pottery, Samarra’ also witnessed an extensive use of </w:t>
      </w:r>
      <w:proofErr w:type="spellStart"/>
      <w:r w:rsidRPr="002D08DD">
        <w:t>color</w:t>
      </w:r>
      <w:proofErr w:type="spellEnd"/>
      <w:r w:rsidRPr="002D08DD">
        <w:t xml:space="preserve"> in decoration and, possibly, </w:t>
      </w:r>
      <w:r w:rsidRPr="00193A3F">
        <w:rPr>
          <w:color w:val="FF0000"/>
        </w:rPr>
        <w:t xml:space="preserve">the introduction of the technique of </w:t>
      </w:r>
      <w:r w:rsidR="003F7B22" w:rsidRPr="00193A3F">
        <w:rPr>
          <w:color w:val="FF0000"/>
        </w:rPr>
        <w:t>lustre</w:t>
      </w:r>
      <w:r w:rsidRPr="00193A3F">
        <w:rPr>
          <w:color w:val="FF0000"/>
        </w:rPr>
        <w:t xml:space="preserve"> painting over a white glaze.</w:t>
      </w:r>
      <w:r w:rsidRPr="002D08DD">
        <w:t xml:space="preserve"> Admired for its </w:t>
      </w:r>
      <w:r w:rsidRPr="007528F6">
        <w:rPr>
          <w:color w:val="FF0000"/>
        </w:rPr>
        <w:t xml:space="preserve">glittering effect reminiscent of precious metal, </w:t>
      </w:r>
      <w:proofErr w:type="spellStart"/>
      <w:r w:rsidRPr="007528F6">
        <w:rPr>
          <w:color w:val="FF0000"/>
        </w:rPr>
        <w:t>luster</w:t>
      </w:r>
      <w:proofErr w:type="spellEnd"/>
      <w:r w:rsidRPr="007528F6">
        <w:rPr>
          <w:color w:val="FF0000"/>
        </w:rPr>
        <w:t xml:space="preserve"> painting,</w:t>
      </w:r>
      <w:r w:rsidRPr="002D08DD">
        <w:t xml:space="preserve"> the most notable technical achievement at the time, spread in the following centuries from </w:t>
      </w:r>
      <w:bookmarkStart w:id="0" w:name="_GoBack"/>
      <w:r w:rsidRPr="001A3E4F">
        <w:rPr>
          <w:color w:val="FF0000"/>
        </w:rPr>
        <w:t>Iraq to Egypt, Syria, Iran, and Spain and eventually also contributed to the development of ceramic decoration in the Western world</w:t>
      </w:r>
      <w:bookmarkEnd w:id="0"/>
      <w:r w:rsidRPr="002D08DD">
        <w:t xml:space="preserve">. In terms of architecture, along with the palace of </w:t>
      </w:r>
      <w:proofErr w:type="spellStart"/>
      <w:r w:rsidRPr="002D08DD">
        <w:t>Jawsaq</w:t>
      </w:r>
      <w:proofErr w:type="spellEnd"/>
      <w:r w:rsidRPr="002D08DD">
        <w:t xml:space="preserve"> al-</w:t>
      </w:r>
      <w:proofErr w:type="spellStart"/>
      <w:r w:rsidRPr="002D08DD">
        <w:t>Khaqani</w:t>
      </w:r>
      <w:proofErr w:type="spellEnd"/>
      <w:r w:rsidRPr="002D08DD">
        <w:t xml:space="preserve"> (ca. 836 onward</w:t>
      </w:r>
      <w:r w:rsidRPr="001A3E4F">
        <w:rPr>
          <w:color w:val="FF0000"/>
        </w:rPr>
        <w:t>), the mosques of al-</w:t>
      </w:r>
      <w:proofErr w:type="spellStart"/>
      <w:r w:rsidRPr="001A3E4F">
        <w:rPr>
          <w:color w:val="FF0000"/>
        </w:rPr>
        <w:t>Mutawakkil</w:t>
      </w:r>
      <w:proofErr w:type="spellEnd"/>
      <w:r w:rsidRPr="001A3E4F">
        <w:rPr>
          <w:color w:val="FF0000"/>
        </w:rPr>
        <w:t xml:space="preserve"> </w:t>
      </w:r>
      <w:r w:rsidRPr="002D08DD">
        <w:t xml:space="preserve">(848–52) and Abu </w:t>
      </w:r>
      <w:proofErr w:type="spellStart"/>
      <w:r w:rsidRPr="002D08DD">
        <w:t>Dulaf</w:t>
      </w:r>
      <w:proofErr w:type="spellEnd"/>
      <w:r w:rsidRPr="002D08DD">
        <w:t xml:space="preserve"> (859–61) in Samarra’ were important in setting the style that was emulated in regions as far as Egypt or Central Asia, where it was adapted to need and taste."^/</w:t>
      </w:r>
    </w:p>
    <w:p w14:paraId="065A34E1" w14:textId="64145CD8" w:rsidR="002D08DD" w:rsidRDefault="00FD57C0" w:rsidP="002D08DD">
      <w:r w:rsidRPr="00FD57C0">
        <w:rPr>
          <w:noProof/>
        </w:rPr>
        <w:drawing>
          <wp:inline distT="0" distB="0" distL="0" distR="0" wp14:anchorId="67E616BA" wp14:editId="0102D0E4">
            <wp:extent cx="2600325" cy="3686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00325" cy="3686175"/>
                    </a:xfrm>
                    <a:prstGeom prst="rect">
                      <a:avLst/>
                    </a:prstGeom>
                  </pic:spPr>
                </pic:pic>
              </a:graphicData>
            </a:graphic>
          </wp:inline>
        </w:drawing>
      </w:r>
    </w:p>
    <w:p w14:paraId="7C3AB623" w14:textId="272F9894" w:rsidR="00FD57C0" w:rsidRDefault="00FD57C0" w:rsidP="002D08DD">
      <w:pPr>
        <w:rPr>
          <w:lang w:val="en-US"/>
        </w:rPr>
      </w:pPr>
      <w:r>
        <w:rPr>
          <w:lang w:val="en-US"/>
        </w:rPr>
        <w:t xml:space="preserve">Reference:  </w:t>
      </w:r>
      <w:hyperlink r:id="rId6" w:history="1">
        <w:r w:rsidR="00FD7C48" w:rsidRPr="006C356D">
          <w:rPr>
            <w:rStyle w:val="Hyperlink"/>
            <w:lang w:val="en-US"/>
          </w:rPr>
          <w:t>http://factsanddetails.com/world/cat55/3sub2/entry-5228.html</w:t>
        </w:r>
      </w:hyperlink>
    </w:p>
    <w:p w14:paraId="67FD2F58" w14:textId="770E2B0B" w:rsidR="00BB4196" w:rsidRDefault="00BB4196" w:rsidP="002D08DD">
      <w:pPr>
        <w:rPr>
          <w:lang w:val="en-US"/>
        </w:rPr>
      </w:pPr>
    </w:p>
    <w:p w14:paraId="75962A4C" w14:textId="101CB465" w:rsidR="00BB4196" w:rsidRDefault="00BB4196" w:rsidP="002D08DD">
      <w:pPr>
        <w:rPr>
          <w:lang w:val="en-US"/>
        </w:rPr>
      </w:pPr>
    </w:p>
    <w:p w14:paraId="384143E9" w14:textId="77777777" w:rsidR="00C458EC" w:rsidRDefault="00C458EC" w:rsidP="002D08DD">
      <w:pPr>
        <w:rPr>
          <w:lang w:val="en-US"/>
        </w:rPr>
      </w:pPr>
    </w:p>
    <w:p w14:paraId="15360A3F" w14:textId="6AB21562" w:rsidR="00BB4196" w:rsidRPr="00F91769" w:rsidRDefault="00BB4196" w:rsidP="002D08DD">
      <w:pPr>
        <w:rPr>
          <w:b/>
          <w:bCs/>
          <w:lang w:val="en-US"/>
        </w:rPr>
      </w:pPr>
      <w:r w:rsidRPr="00F91769">
        <w:rPr>
          <w:b/>
          <w:bCs/>
          <w:lang w:val="en-US"/>
        </w:rPr>
        <w:lastRenderedPageBreak/>
        <w:t xml:space="preserve">Elements of Art of Book Illustration </w:t>
      </w:r>
    </w:p>
    <w:p w14:paraId="472ACE07" w14:textId="0B409D7B" w:rsidR="00BB4196" w:rsidRPr="00BB4196" w:rsidRDefault="00BB4196" w:rsidP="00BB4196">
      <w:pPr>
        <w:pStyle w:val="ListParagraph"/>
        <w:numPr>
          <w:ilvl w:val="0"/>
          <w:numId w:val="1"/>
        </w:numPr>
        <w:rPr>
          <w:lang w:val="en-US"/>
        </w:rPr>
      </w:pPr>
      <w:r w:rsidRPr="00BB4196">
        <w:rPr>
          <w:lang w:val="en-US"/>
        </w:rPr>
        <w:t>Calligraphy</w:t>
      </w:r>
    </w:p>
    <w:p w14:paraId="359D6D0A" w14:textId="48E61DD2" w:rsidR="00FD7C48" w:rsidRPr="00BB4196" w:rsidRDefault="00BB4196" w:rsidP="00BB4196">
      <w:pPr>
        <w:pStyle w:val="ListParagraph"/>
        <w:numPr>
          <w:ilvl w:val="0"/>
          <w:numId w:val="1"/>
        </w:numPr>
        <w:rPr>
          <w:lang w:val="en-US"/>
        </w:rPr>
      </w:pPr>
      <w:r w:rsidRPr="00BB4196">
        <w:rPr>
          <w:lang w:val="en-US"/>
        </w:rPr>
        <w:t>Geometrical pattern</w:t>
      </w:r>
    </w:p>
    <w:p w14:paraId="3F12EC96" w14:textId="68F949E4" w:rsidR="00BB4196" w:rsidRPr="00BB4196" w:rsidRDefault="00BB4196" w:rsidP="00BB4196">
      <w:pPr>
        <w:pStyle w:val="ListParagraph"/>
        <w:numPr>
          <w:ilvl w:val="0"/>
          <w:numId w:val="1"/>
        </w:numPr>
        <w:rPr>
          <w:lang w:val="en-US"/>
        </w:rPr>
      </w:pPr>
      <w:r w:rsidRPr="00BB4196">
        <w:rPr>
          <w:lang w:val="en-US"/>
        </w:rPr>
        <w:t>Vegetal pattern</w:t>
      </w:r>
    </w:p>
    <w:p w14:paraId="29C5DE81" w14:textId="4CEB3681" w:rsidR="00BB4196" w:rsidRDefault="00BB4196" w:rsidP="00BB4196">
      <w:pPr>
        <w:pStyle w:val="ListParagraph"/>
        <w:numPr>
          <w:ilvl w:val="0"/>
          <w:numId w:val="1"/>
        </w:numPr>
        <w:rPr>
          <w:lang w:val="en-US"/>
        </w:rPr>
      </w:pPr>
      <w:r w:rsidRPr="00BB4196">
        <w:rPr>
          <w:lang w:val="en-US"/>
        </w:rPr>
        <w:t>Figurative images</w:t>
      </w:r>
    </w:p>
    <w:p w14:paraId="7696CDE6" w14:textId="0AAE7E9E" w:rsidR="00BB4196" w:rsidRPr="00F91769" w:rsidRDefault="00BB4196" w:rsidP="00BB4196">
      <w:pPr>
        <w:rPr>
          <w:b/>
          <w:bCs/>
          <w:lang w:val="en-US"/>
        </w:rPr>
      </w:pPr>
      <w:r w:rsidRPr="00F91769">
        <w:rPr>
          <w:b/>
          <w:bCs/>
          <w:lang w:val="en-US"/>
        </w:rPr>
        <w:t>Four prominent manuscripts which based on art of book Illustration</w:t>
      </w:r>
    </w:p>
    <w:p w14:paraId="5FB24CBC" w14:textId="3AD7047B" w:rsidR="00BB4196" w:rsidRDefault="00BB4196" w:rsidP="00BB4196">
      <w:pPr>
        <w:pStyle w:val="ListParagraph"/>
        <w:numPr>
          <w:ilvl w:val="0"/>
          <w:numId w:val="2"/>
        </w:numPr>
        <w:rPr>
          <w:lang w:val="en-US"/>
        </w:rPr>
      </w:pPr>
      <w:bookmarkStart w:id="1" w:name="_Hlk36642533"/>
      <w:r>
        <w:rPr>
          <w:lang w:val="en-US"/>
        </w:rPr>
        <w:t xml:space="preserve">Materia De Medica of Dioscorides </w:t>
      </w:r>
    </w:p>
    <w:bookmarkEnd w:id="1"/>
    <w:p w14:paraId="762A6C22" w14:textId="391D6C95" w:rsidR="00BB4196" w:rsidRDefault="00BB4196" w:rsidP="00BB4196">
      <w:pPr>
        <w:pStyle w:val="ListParagraph"/>
        <w:numPr>
          <w:ilvl w:val="0"/>
          <w:numId w:val="2"/>
        </w:numPr>
        <w:rPr>
          <w:lang w:val="en-US"/>
        </w:rPr>
      </w:pPr>
      <w:proofErr w:type="spellStart"/>
      <w:r>
        <w:rPr>
          <w:lang w:val="en-US"/>
        </w:rPr>
        <w:t>Qalila</w:t>
      </w:r>
      <w:proofErr w:type="spellEnd"/>
      <w:r>
        <w:rPr>
          <w:lang w:val="en-US"/>
        </w:rPr>
        <w:t xml:space="preserve"> </w:t>
      </w:r>
      <w:proofErr w:type="spellStart"/>
      <w:r>
        <w:rPr>
          <w:lang w:val="en-US"/>
        </w:rPr>
        <w:t>wa</w:t>
      </w:r>
      <w:proofErr w:type="spellEnd"/>
      <w:r>
        <w:rPr>
          <w:lang w:val="en-US"/>
        </w:rPr>
        <w:t xml:space="preserve"> </w:t>
      </w:r>
      <w:proofErr w:type="spellStart"/>
      <w:r>
        <w:rPr>
          <w:lang w:val="en-US"/>
        </w:rPr>
        <w:t>dimna</w:t>
      </w:r>
      <w:proofErr w:type="spellEnd"/>
    </w:p>
    <w:p w14:paraId="38DB5D75" w14:textId="63EBE299" w:rsidR="00BB4196" w:rsidRDefault="00DF7B2B" w:rsidP="00BB4196">
      <w:pPr>
        <w:pStyle w:val="ListParagraph"/>
        <w:numPr>
          <w:ilvl w:val="0"/>
          <w:numId w:val="2"/>
        </w:numPr>
        <w:rPr>
          <w:lang w:val="en-US"/>
        </w:rPr>
      </w:pPr>
      <w:proofErr w:type="spellStart"/>
      <w:r>
        <w:rPr>
          <w:lang w:val="en-US"/>
        </w:rPr>
        <w:t>Warqa</w:t>
      </w:r>
      <w:proofErr w:type="spellEnd"/>
      <w:r>
        <w:rPr>
          <w:lang w:val="en-US"/>
        </w:rPr>
        <w:t xml:space="preserve"> </w:t>
      </w:r>
      <w:proofErr w:type="spellStart"/>
      <w:r>
        <w:rPr>
          <w:lang w:val="en-US"/>
        </w:rPr>
        <w:t>wa</w:t>
      </w:r>
      <w:proofErr w:type="spellEnd"/>
      <w:r>
        <w:rPr>
          <w:lang w:val="en-US"/>
        </w:rPr>
        <w:t xml:space="preserve"> </w:t>
      </w:r>
      <w:proofErr w:type="spellStart"/>
      <w:r>
        <w:rPr>
          <w:lang w:val="en-US"/>
        </w:rPr>
        <w:t>Gulsha</w:t>
      </w:r>
      <w:proofErr w:type="spellEnd"/>
    </w:p>
    <w:p w14:paraId="6B60F4E6" w14:textId="26553A87" w:rsidR="00DF7B2B" w:rsidRDefault="00DF7B2B" w:rsidP="00BB4196">
      <w:pPr>
        <w:pStyle w:val="ListParagraph"/>
        <w:numPr>
          <w:ilvl w:val="0"/>
          <w:numId w:val="2"/>
        </w:numPr>
        <w:rPr>
          <w:lang w:val="en-US"/>
        </w:rPr>
      </w:pPr>
      <w:proofErr w:type="spellStart"/>
      <w:r>
        <w:rPr>
          <w:lang w:val="en-US"/>
        </w:rPr>
        <w:t>Shahnama</w:t>
      </w:r>
      <w:proofErr w:type="spellEnd"/>
      <w:r>
        <w:rPr>
          <w:lang w:val="en-US"/>
        </w:rPr>
        <w:t xml:space="preserve"> of </w:t>
      </w:r>
      <w:proofErr w:type="spellStart"/>
      <w:r>
        <w:rPr>
          <w:lang w:val="en-US"/>
        </w:rPr>
        <w:t>Firdousi</w:t>
      </w:r>
      <w:proofErr w:type="spellEnd"/>
    </w:p>
    <w:p w14:paraId="284BA0B0" w14:textId="77777777" w:rsidR="0089109E" w:rsidRPr="0089109E" w:rsidRDefault="0089109E" w:rsidP="0089109E">
      <w:pPr>
        <w:pStyle w:val="ListParagraph"/>
        <w:rPr>
          <w:lang w:val="en-US"/>
        </w:rPr>
      </w:pPr>
    </w:p>
    <w:p w14:paraId="1586F40A" w14:textId="22B4EA34" w:rsidR="00325834" w:rsidRDefault="00325834" w:rsidP="0089109E">
      <w:pPr>
        <w:rPr>
          <w:b/>
          <w:bCs/>
          <w:lang w:val="en-US"/>
        </w:rPr>
      </w:pPr>
      <w:r w:rsidRPr="00325834">
        <w:rPr>
          <w:b/>
          <w:bCs/>
          <w:lang w:val="en-US"/>
        </w:rPr>
        <w:t>1.</w:t>
      </w:r>
      <w:r w:rsidRPr="00325834">
        <w:rPr>
          <w:b/>
          <w:bCs/>
          <w:lang w:val="en-US"/>
        </w:rPr>
        <w:tab/>
        <w:t>Materia De Medica of Dioscorides</w:t>
      </w:r>
    </w:p>
    <w:p w14:paraId="004285FE" w14:textId="63A3948E" w:rsidR="00DF7B2B" w:rsidRDefault="00E3247D" w:rsidP="0089109E">
      <w:pPr>
        <w:rPr>
          <w:b/>
          <w:bCs/>
          <w:lang w:val="en-US"/>
        </w:rPr>
      </w:pPr>
      <w:r w:rsidRPr="0089109E">
        <w:rPr>
          <w:b/>
          <w:bCs/>
          <w:lang w:val="en-US"/>
        </w:rPr>
        <w:t>Folio from an Arabic translation of De materia medica by Dioscorides (ca. 40-90 C.E.); recto: text; verso: Preparation of medicine from the flower of the wild vine</w:t>
      </w:r>
    </w:p>
    <w:p w14:paraId="724D7EAA" w14:textId="6C12B41C" w:rsidR="004E7255" w:rsidRPr="00BD3D7D" w:rsidRDefault="004E7255" w:rsidP="004E7255">
      <w:pPr>
        <w:rPr>
          <w:b/>
          <w:bCs/>
          <w:lang w:val="en-US"/>
        </w:rPr>
      </w:pPr>
      <w:r w:rsidRPr="00BD3D7D">
        <w:rPr>
          <w:b/>
          <w:bCs/>
          <w:lang w:val="en-US"/>
        </w:rPr>
        <w:t>Description</w:t>
      </w:r>
    </w:p>
    <w:p w14:paraId="232DE711" w14:textId="431BCF27" w:rsidR="004E7255" w:rsidRPr="004E7255" w:rsidRDefault="004E7255" w:rsidP="004E7255">
      <w:pPr>
        <w:rPr>
          <w:lang w:val="en-US"/>
        </w:rPr>
      </w:pPr>
      <w:r w:rsidRPr="004E7255">
        <w:rPr>
          <w:lang w:val="en-US"/>
        </w:rPr>
        <w:t xml:space="preserve"> Detached folio from an Arabic translation of De Materia Medica by Pedanius Dioscorides; text: Arabic in black and red naskh script; recto: text, one column, 13 lines; verso: illustration and text, Preparation of medicine from the flower of the wild vine, one column, 7 lines; one of a group of 9 folios.</w:t>
      </w:r>
      <w:r w:rsidR="005334FB">
        <w:rPr>
          <w:lang w:val="en-US"/>
        </w:rPr>
        <w:t xml:space="preserve"> </w:t>
      </w:r>
    </w:p>
    <w:p w14:paraId="11E95473" w14:textId="6C0C2092" w:rsidR="004E7255" w:rsidRPr="004E7255" w:rsidRDefault="004E7255" w:rsidP="004E7255">
      <w:pPr>
        <w:rPr>
          <w:b/>
          <w:bCs/>
          <w:lang w:val="en-US"/>
        </w:rPr>
      </w:pPr>
      <w:r w:rsidRPr="004E7255">
        <w:rPr>
          <w:b/>
          <w:bCs/>
          <w:lang w:val="en-US"/>
        </w:rPr>
        <w:t>Label</w:t>
      </w:r>
    </w:p>
    <w:p w14:paraId="689B5445" w14:textId="4D725783" w:rsidR="004E7255" w:rsidRPr="004E7255" w:rsidRDefault="004E7255" w:rsidP="004E7255">
      <w:pPr>
        <w:rPr>
          <w:lang w:val="en-US"/>
        </w:rPr>
      </w:pPr>
      <w:r w:rsidRPr="004E7255">
        <w:rPr>
          <w:lang w:val="en-US"/>
        </w:rPr>
        <w:t xml:space="preserve">    One of the earliest illustrated texts from the Islamic world is the Arabic translation of the Materia Medica, a Greek scientific treatise. It was written in the first century C.E. by Dioscorides, a soldier attached to the Roman army who studied the flora of Asia Minor while in service. Divided into five chapters, the text provides the name, habitat, and pharmaceutical uses of some five hundred plants.</w:t>
      </w:r>
    </w:p>
    <w:p w14:paraId="62F0A932" w14:textId="1CE6D640" w:rsidR="004E7255" w:rsidRPr="004E7255" w:rsidRDefault="004E7255" w:rsidP="004E7255">
      <w:pPr>
        <w:rPr>
          <w:lang w:val="en-US"/>
        </w:rPr>
      </w:pPr>
      <w:r w:rsidRPr="004E7255">
        <w:rPr>
          <w:lang w:val="en-US"/>
        </w:rPr>
        <w:t xml:space="preserve">    This folio is from a chapter entitled "Vines and Wines." According to Dioscorides, one of the many healing properties of the wild vine flower is the alleviation of stomach pain, headaches, swollen eyes, and the inflammation of fingers and toes.</w:t>
      </w:r>
      <w:r w:rsidR="005334FB">
        <w:rPr>
          <w:lang w:val="en-US"/>
        </w:rPr>
        <w:t xml:space="preserve"> </w:t>
      </w:r>
    </w:p>
    <w:p w14:paraId="6ACA6908" w14:textId="36E1B214" w:rsidR="004E7255" w:rsidRDefault="004E7255" w:rsidP="004E7255">
      <w:pPr>
        <w:rPr>
          <w:lang w:val="en-US"/>
        </w:rPr>
      </w:pPr>
      <w:r w:rsidRPr="004E7255">
        <w:rPr>
          <w:lang w:val="en-US"/>
        </w:rPr>
        <w:t xml:space="preserve">    Arabic copies of the Materia Medica are notable for their lively narrative illustrations. In this example, a young apprentice prepares a remedy under the shade of a large fruit tree while an elderly physician probably explains the medication to his patient. Such compositions allowed painters to add pictorial interpretations to the text and transform it into more than just a scientific treatise.</w:t>
      </w:r>
    </w:p>
    <w:p w14:paraId="0B796E81" w14:textId="5FEDD96D" w:rsidR="00BD3D7D" w:rsidRDefault="001A3E4F" w:rsidP="004E7255">
      <w:pPr>
        <w:rPr>
          <w:lang w:val="en-US"/>
        </w:rPr>
      </w:pPr>
      <w:hyperlink r:id="rId7" w:anchor="object-content" w:history="1">
        <w:r w:rsidR="00403C60" w:rsidRPr="006C356D">
          <w:rPr>
            <w:rStyle w:val="Hyperlink"/>
            <w:lang w:val="en-US"/>
          </w:rPr>
          <w:t>https://asia.si.edu/object/F1932.22/#object-content</w:t>
        </w:r>
      </w:hyperlink>
    </w:p>
    <w:p w14:paraId="0E449CC4" w14:textId="75249D5D" w:rsidR="00403C60" w:rsidRDefault="00CD706F" w:rsidP="004E7255">
      <w:pPr>
        <w:rPr>
          <w:b/>
          <w:bCs/>
          <w:lang w:val="en-US"/>
        </w:rPr>
      </w:pPr>
      <w:r w:rsidRPr="00CD706F">
        <w:rPr>
          <w:b/>
          <w:bCs/>
          <w:lang w:val="en-US"/>
        </w:rPr>
        <w:t xml:space="preserve">2- </w:t>
      </w:r>
      <w:proofErr w:type="spellStart"/>
      <w:r w:rsidR="00325834" w:rsidRPr="00CD706F">
        <w:rPr>
          <w:b/>
          <w:bCs/>
          <w:lang w:val="en-US"/>
        </w:rPr>
        <w:t>Kalila</w:t>
      </w:r>
      <w:proofErr w:type="spellEnd"/>
      <w:r w:rsidR="00325834" w:rsidRPr="00CD706F">
        <w:rPr>
          <w:b/>
          <w:bCs/>
          <w:lang w:val="en-US"/>
        </w:rPr>
        <w:t xml:space="preserve"> </w:t>
      </w:r>
      <w:proofErr w:type="spellStart"/>
      <w:r w:rsidR="00325834" w:rsidRPr="00CD706F">
        <w:rPr>
          <w:b/>
          <w:bCs/>
          <w:lang w:val="en-US"/>
        </w:rPr>
        <w:t>wa</w:t>
      </w:r>
      <w:proofErr w:type="spellEnd"/>
      <w:r w:rsidR="00325834" w:rsidRPr="00CD706F">
        <w:rPr>
          <w:b/>
          <w:bCs/>
          <w:lang w:val="en-US"/>
        </w:rPr>
        <w:t xml:space="preserve"> </w:t>
      </w:r>
      <w:proofErr w:type="spellStart"/>
      <w:r w:rsidR="00325834" w:rsidRPr="00CD706F">
        <w:rPr>
          <w:b/>
          <w:bCs/>
          <w:lang w:val="en-US"/>
        </w:rPr>
        <w:t>Dimna</w:t>
      </w:r>
      <w:proofErr w:type="spellEnd"/>
    </w:p>
    <w:p w14:paraId="68051D8A" w14:textId="78D68845" w:rsidR="00E62C69" w:rsidRDefault="00E62C69" w:rsidP="00695DD8">
      <w:pPr>
        <w:rPr>
          <w:lang w:val="en-US"/>
        </w:rPr>
      </w:pPr>
      <w:r w:rsidRPr="00E62C69">
        <w:rPr>
          <w:lang w:val="en-US"/>
        </w:rPr>
        <w:t xml:space="preserve">This is just one of the many “nested” stories from the tales of </w:t>
      </w:r>
      <w:proofErr w:type="spellStart"/>
      <w:r w:rsidRPr="00E62C69">
        <w:rPr>
          <w:lang w:val="en-US"/>
        </w:rPr>
        <w:t>Kalila</w:t>
      </w:r>
      <w:proofErr w:type="spellEnd"/>
      <w:r w:rsidRPr="00E62C69">
        <w:rPr>
          <w:lang w:val="en-US"/>
        </w:rPr>
        <w:t xml:space="preserve"> </w:t>
      </w:r>
      <w:proofErr w:type="spellStart"/>
      <w:r w:rsidRPr="00E62C69">
        <w:rPr>
          <w:lang w:val="en-US"/>
        </w:rPr>
        <w:t>wa</w:t>
      </w:r>
      <w:proofErr w:type="spellEnd"/>
      <w:r w:rsidRPr="00E62C69">
        <w:rPr>
          <w:lang w:val="en-US"/>
        </w:rPr>
        <w:t xml:space="preserve"> </w:t>
      </w:r>
      <w:proofErr w:type="spellStart"/>
      <w:r w:rsidRPr="00E62C69">
        <w:rPr>
          <w:lang w:val="en-US"/>
        </w:rPr>
        <w:t>Dimna</w:t>
      </w:r>
      <w:proofErr w:type="spellEnd"/>
      <w:r w:rsidRPr="00E62C69">
        <w:rPr>
          <w:lang w:val="en-US"/>
        </w:rPr>
        <w:t>, adapted and translated into Arabic from the Pahlavi in the eighth century by Ibn al-</w:t>
      </w:r>
      <w:proofErr w:type="spellStart"/>
      <w:proofErr w:type="gramStart"/>
      <w:r w:rsidRPr="00E62C69">
        <w:rPr>
          <w:lang w:val="en-US"/>
        </w:rPr>
        <w:t>Mugaffa</w:t>
      </w:r>
      <w:proofErr w:type="spellEnd"/>
      <w:r w:rsidRPr="00E62C69">
        <w:rPr>
          <w:lang w:val="en-US"/>
        </w:rPr>
        <w:t>‘ (</w:t>
      </w:r>
      <w:proofErr w:type="gramEnd"/>
      <w:r w:rsidRPr="00E62C69">
        <w:rPr>
          <w:lang w:val="en-US"/>
        </w:rPr>
        <w:t xml:space="preserve">d. c. 757 CE). The ultimate source of the </w:t>
      </w:r>
      <w:proofErr w:type="spellStart"/>
      <w:r w:rsidRPr="00E62C69">
        <w:rPr>
          <w:lang w:val="en-US"/>
        </w:rPr>
        <w:t>Kalila</w:t>
      </w:r>
      <w:proofErr w:type="spellEnd"/>
      <w:r w:rsidRPr="00E62C69">
        <w:rPr>
          <w:lang w:val="en-US"/>
        </w:rPr>
        <w:t xml:space="preserve"> </w:t>
      </w:r>
      <w:proofErr w:type="spellStart"/>
      <w:r w:rsidRPr="00E62C69">
        <w:rPr>
          <w:lang w:val="en-US"/>
        </w:rPr>
        <w:t>wa</w:t>
      </w:r>
      <w:proofErr w:type="spellEnd"/>
      <w:r w:rsidRPr="00E62C69">
        <w:rPr>
          <w:lang w:val="en-US"/>
        </w:rPr>
        <w:t xml:space="preserve"> </w:t>
      </w:r>
      <w:proofErr w:type="spellStart"/>
      <w:r w:rsidRPr="00E62C69">
        <w:rPr>
          <w:lang w:val="en-US"/>
        </w:rPr>
        <w:t>Dimna</w:t>
      </w:r>
      <w:proofErr w:type="spellEnd"/>
      <w:r w:rsidRPr="00E62C69">
        <w:rPr>
          <w:lang w:val="en-US"/>
        </w:rPr>
        <w:t xml:space="preserve"> can be traced to an original Sanskrit “Mirror for Princes” that was compiled by an unknown author around 300 CE and entitled the </w:t>
      </w:r>
      <w:proofErr w:type="spellStart"/>
      <w:r w:rsidRPr="00E62C69">
        <w:rPr>
          <w:lang w:val="en-US"/>
        </w:rPr>
        <w:t>Pancatantra</w:t>
      </w:r>
      <w:proofErr w:type="spellEnd"/>
      <w:r w:rsidRPr="00E62C69">
        <w:rPr>
          <w:lang w:val="en-US"/>
        </w:rPr>
        <w:t xml:space="preserve"> (Five Books or Five Cases of Cleverness). The Sanskrit tales were translated in the sixth century CE into Middle Persian (Pahlavi) by the physician </w:t>
      </w:r>
      <w:proofErr w:type="spellStart"/>
      <w:r w:rsidRPr="00E62C69">
        <w:rPr>
          <w:lang w:val="en-US"/>
        </w:rPr>
        <w:t>Bur­zuya</w:t>
      </w:r>
      <w:proofErr w:type="spellEnd"/>
      <w:r w:rsidRPr="00E62C69">
        <w:rPr>
          <w:lang w:val="en-US"/>
        </w:rPr>
        <w:t xml:space="preserve"> (or </w:t>
      </w:r>
      <w:proofErr w:type="spellStart"/>
      <w:r w:rsidRPr="00E62C69">
        <w:rPr>
          <w:lang w:val="en-US"/>
        </w:rPr>
        <w:t>Burzoy</w:t>
      </w:r>
      <w:proofErr w:type="spellEnd"/>
      <w:r w:rsidRPr="00E62C69">
        <w:rPr>
          <w:lang w:val="en-US"/>
        </w:rPr>
        <w:t xml:space="preserve">) at the behest of the Sasanian King </w:t>
      </w:r>
      <w:proofErr w:type="spellStart"/>
      <w:r w:rsidRPr="00E62C69">
        <w:rPr>
          <w:lang w:val="en-US"/>
        </w:rPr>
        <w:t>Khusraw</w:t>
      </w:r>
      <w:proofErr w:type="spellEnd"/>
      <w:r w:rsidRPr="00E62C69">
        <w:rPr>
          <w:lang w:val="en-US"/>
        </w:rPr>
        <w:t xml:space="preserve"> </w:t>
      </w:r>
      <w:proofErr w:type="spellStart"/>
      <w:r w:rsidRPr="00E62C69">
        <w:rPr>
          <w:lang w:val="en-US"/>
        </w:rPr>
        <w:lastRenderedPageBreak/>
        <w:t>Anushirwan</w:t>
      </w:r>
      <w:proofErr w:type="spellEnd"/>
      <w:r w:rsidRPr="00E62C69">
        <w:rPr>
          <w:lang w:val="en-US"/>
        </w:rPr>
        <w:t xml:space="preserve"> (r. 531-579 CE). In addition to the tales of the </w:t>
      </w:r>
      <w:proofErr w:type="spellStart"/>
      <w:r w:rsidRPr="00E62C69">
        <w:rPr>
          <w:lang w:val="en-US"/>
        </w:rPr>
        <w:t>Pancatantra</w:t>
      </w:r>
      <w:proofErr w:type="spellEnd"/>
      <w:r w:rsidRPr="00E62C69">
        <w:rPr>
          <w:lang w:val="en-US"/>
        </w:rPr>
        <w:t xml:space="preserve">, </w:t>
      </w:r>
      <w:proofErr w:type="spellStart"/>
      <w:r w:rsidRPr="00E62C69">
        <w:rPr>
          <w:lang w:val="en-US"/>
        </w:rPr>
        <w:t>Burzuya</w:t>
      </w:r>
      <w:proofErr w:type="spellEnd"/>
      <w:r w:rsidRPr="00E62C69">
        <w:rPr>
          <w:lang w:val="en-US"/>
        </w:rPr>
        <w:t xml:space="preserve"> incorporated various other stories into his corpus, principally from the Mahabharata epic and other Hindu and Buddhist sources. </w:t>
      </w:r>
      <w:proofErr w:type="spellStart"/>
      <w:r w:rsidRPr="00E62C69">
        <w:rPr>
          <w:lang w:val="en-US"/>
        </w:rPr>
        <w:t>Burzuya’s</w:t>
      </w:r>
      <w:proofErr w:type="spellEnd"/>
      <w:r w:rsidRPr="00E62C69">
        <w:rPr>
          <w:lang w:val="en-US"/>
        </w:rPr>
        <w:t xml:space="preserve"> Pahlavi title, </w:t>
      </w:r>
      <w:proofErr w:type="spellStart"/>
      <w:r w:rsidRPr="00E62C69">
        <w:rPr>
          <w:lang w:val="en-US"/>
        </w:rPr>
        <w:t>Karirak</w:t>
      </w:r>
      <w:proofErr w:type="spellEnd"/>
      <w:r w:rsidRPr="00E62C69">
        <w:rPr>
          <w:lang w:val="en-US"/>
        </w:rPr>
        <w:t xml:space="preserve"> </w:t>
      </w:r>
      <w:proofErr w:type="spellStart"/>
      <w:r w:rsidRPr="00E62C69">
        <w:rPr>
          <w:lang w:val="en-US"/>
        </w:rPr>
        <w:t>ud</w:t>
      </w:r>
      <w:proofErr w:type="spellEnd"/>
      <w:r w:rsidRPr="00E62C69">
        <w:rPr>
          <w:lang w:val="en-US"/>
        </w:rPr>
        <w:t xml:space="preserve"> </w:t>
      </w:r>
      <w:proofErr w:type="spellStart"/>
      <w:r w:rsidRPr="00E62C69">
        <w:rPr>
          <w:lang w:val="en-US"/>
        </w:rPr>
        <w:t>Damanak</w:t>
      </w:r>
      <w:proofErr w:type="spellEnd"/>
      <w:r w:rsidRPr="00E62C69">
        <w:rPr>
          <w:lang w:val="en-US"/>
        </w:rPr>
        <w:t xml:space="preserve">, was derived from the names of two jackals, </w:t>
      </w:r>
      <w:proofErr w:type="spellStart"/>
      <w:r w:rsidRPr="00E62C69">
        <w:rPr>
          <w:lang w:val="en-US"/>
        </w:rPr>
        <w:t>Karataka</w:t>
      </w:r>
      <w:proofErr w:type="spellEnd"/>
      <w:r w:rsidRPr="00E62C69">
        <w:rPr>
          <w:lang w:val="en-US"/>
        </w:rPr>
        <w:t xml:space="preserve"> and </w:t>
      </w:r>
      <w:proofErr w:type="spellStart"/>
      <w:r w:rsidRPr="00E62C69">
        <w:rPr>
          <w:lang w:val="en-US"/>
        </w:rPr>
        <w:t>Damanaka</w:t>
      </w:r>
      <w:proofErr w:type="spellEnd"/>
      <w:r w:rsidRPr="00E62C69">
        <w:rPr>
          <w:lang w:val="en-US"/>
        </w:rPr>
        <w:t xml:space="preserve">, the principal characters in the first book of the </w:t>
      </w:r>
      <w:proofErr w:type="spellStart"/>
      <w:r w:rsidRPr="00E62C69">
        <w:rPr>
          <w:lang w:val="en-US"/>
        </w:rPr>
        <w:t>Pancatantra</w:t>
      </w:r>
      <w:proofErr w:type="spellEnd"/>
      <w:r w:rsidRPr="00E62C69">
        <w:rPr>
          <w:lang w:val="en-US"/>
        </w:rPr>
        <w:t>. Ibn al-</w:t>
      </w:r>
      <w:proofErr w:type="spellStart"/>
      <w:proofErr w:type="gramStart"/>
      <w:r w:rsidRPr="00E62C69">
        <w:rPr>
          <w:lang w:val="en-US"/>
        </w:rPr>
        <w:t>Muqaffa</w:t>
      </w:r>
      <w:proofErr w:type="spellEnd"/>
      <w:r w:rsidRPr="00E62C69">
        <w:rPr>
          <w:lang w:val="en-US"/>
        </w:rPr>
        <w:t>‘</w:t>
      </w:r>
      <w:proofErr w:type="gramEnd"/>
      <w:r w:rsidRPr="00E62C69">
        <w:rPr>
          <w:lang w:val="en-US"/>
        </w:rPr>
        <w:t xml:space="preserve">’s </w:t>
      </w:r>
      <w:proofErr w:type="spellStart"/>
      <w:r w:rsidRPr="00E62C69">
        <w:rPr>
          <w:lang w:val="en-US"/>
        </w:rPr>
        <w:t>Kalila</w:t>
      </w:r>
      <w:proofErr w:type="spellEnd"/>
      <w:r w:rsidRPr="00E62C69">
        <w:rPr>
          <w:lang w:val="en-US"/>
        </w:rPr>
        <w:t xml:space="preserve"> </w:t>
      </w:r>
      <w:proofErr w:type="spellStart"/>
      <w:r w:rsidRPr="00E62C69">
        <w:rPr>
          <w:lang w:val="en-US"/>
        </w:rPr>
        <w:t>wa</w:t>
      </w:r>
      <w:proofErr w:type="spellEnd"/>
      <w:r w:rsidRPr="00E62C69">
        <w:rPr>
          <w:lang w:val="en-US"/>
        </w:rPr>
        <w:t xml:space="preserve"> </w:t>
      </w:r>
      <w:proofErr w:type="spellStart"/>
      <w:r w:rsidRPr="00E62C69">
        <w:rPr>
          <w:lang w:val="en-US"/>
        </w:rPr>
        <w:t>Dimna</w:t>
      </w:r>
      <w:proofErr w:type="spellEnd"/>
      <w:r w:rsidRPr="00E62C69">
        <w:rPr>
          <w:lang w:val="en-US"/>
        </w:rPr>
        <w:t xml:space="preserve"> is therefore an Arabic recension of </w:t>
      </w:r>
      <w:proofErr w:type="spellStart"/>
      <w:r w:rsidRPr="00E62C69">
        <w:rPr>
          <w:lang w:val="en-US"/>
        </w:rPr>
        <w:t>Burzuya’s</w:t>
      </w:r>
      <w:proofErr w:type="spellEnd"/>
      <w:r w:rsidRPr="00E62C69">
        <w:rPr>
          <w:lang w:val="en-US"/>
        </w:rPr>
        <w:t xml:space="preserve"> now lost </w:t>
      </w:r>
      <w:proofErr w:type="spellStart"/>
      <w:r w:rsidRPr="00E62C69">
        <w:rPr>
          <w:lang w:val="en-US"/>
        </w:rPr>
        <w:t>Karirak</w:t>
      </w:r>
      <w:proofErr w:type="spellEnd"/>
      <w:r w:rsidRPr="00E62C69">
        <w:rPr>
          <w:lang w:val="en-US"/>
        </w:rPr>
        <w:t xml:space="preserve"> </w:t>
      </w:r>
      <w:proofErr w:type="spellStart"/>
      <w:r w:rsidRPr="00E62C69">
        <w:rPr>
          <w:lang w:val="en-US"/>
        </w:rPr>
        <w:t>ud</w:t>
      </w:r>
      <w:proofErr w:type="spellEnd"/>
      <w:r w:rsidRPr="00E62C69">
        <w:rPr>
          <w:lang w:val="en-US"/>
        </w:rPr>
        <w:t xml:space="preserve"> </w:t>
      </w:r>
      <w:proofErr w:type="spellStart"/>
      <w:r w:rsidRPr="00E62C69">
        <w:rPr>
          <w:lang w:val="en-US"/>
        </w:rPr>
        <w:t>Damanak</w:t>
      </w:r>
      <w:proofErr w:type="spellEnd"/>
      <w:r w:rsidRPr="00E62C69">
        <w:rPr>
          <w:lang w:val="en-US"/>
        </w:rPr>
        <w:t>, although the Arab author also inserted a number of additions into his final work.</w:t>
      </w:r>
    </w:p>
    <w:p w14:paraId="06AD9C06" w14:textId="21F5F34A" w:rsidR="00695DD8" w:rsidRDefault="00695DD8" w:rsidP="00695DD8">
      <w:pPr>
        <w:rPr>
          <w:lang w:val="en-US"/>
        </w:rPr>
      </w:pPr>
      <w:r w:rsidRPr="00E62C69">
        <w:rPr>
          <w:lang w:val="en-US"/>
        </w:rPr>
        <w:t xml:space="preserve">The earliest surviving manuscripts of the </w:t>
      </w:r>
      <w:proofErr w:type="spellStart"/>
      <w:r w:rsidRPr="00E62C69">
        <w:rPr>
          <w:lang w:val="en-US"/>
        </w:rPr>
        <w:t>Kalila</w:t>
      </w:r>
      <w:proofErr w:type="spellEnd"/>
      <w:r w:rsidRPr="00E62C69">
        <w:rPr>
          <w:lang w:val="en-US"/>
        </w:rPr>
        <w:t xml:space="preserve"> </w:t>
      </w:r>
      <w:proofErr w:type="spellStart"/>
      <w:r w:rsidRPr="00E62C69">
        <w:rPr>
          <w:lang w:val="en-US"/>
        </w:rPr>
        <w:t>wa</w:t>
      </w:r>
      <w:proofErr w:type="spellEnd"/>
      <w:r w:rsidRPr="00E62C69">
        <w:rPr>
          <w:lang w:val="en-US"/>
        </w:rPr>
        <w:t xml:space="preserve"> </w:t>
      </w:r>
      <w:proofErr w:type="spellStart"/>
      <w:r w:rsidRPr="00E62C69">
        <w:rPr>
          <w:lang w:val="en-US"/>
        </w:rPr>
        <w:t>Dimna</w:t>
      </w:r>
      <w:proofErr w:type="spellEnd"/>
      <w:r w:rsidRPr="00E62C69">
        <w:rPr>
          <w:lang w:val="en-US"/>
        </w:rPr>
        <w:t xml:space="preserve"> date from the thirteenth and fourteenth centu­ries CE, and the widespread popularity of this work is clearly attested to by references to it in other medieval literary works, including the </w:t>
      </w:r>
      <w:proofErr w:type="spellStart"/>
      <w:r w:rsidRPr="00E62C69">
        <w:rPr>
          <w:lang w:val="en-US"/>
        </w:rPr>
        <w:t>Shahnama</w:t>
      </w:r>
      <w:proofErr w:type="spellEnd"/>
      <w:r w:rsidRPr="00E62C69">
        <w:rPr>
          <w:lang w:val="en-US"/>
        </w:rPr>
        <w:t xml:space="preserve"> of </w:t>
      </w:r>
      <w:proofErr w:type="spellStart"/>
      <w:r w:rsidRPr="00E62C69">
        <w:rPr>
          <w:lang w:val="en-US"/>
        </w:rPr>
        <w:t>Firdawsi</w:t>
      </w:r>
      <w:proofErr w:type="spellEnd"/>
      <w:r w:rsidRPr="00E62C69">
        <w:rPr>
          <w:lang w:val="en-US"/>
        </w:rPr>
        <w:t xml:space="preserve">. However, the </w:t>
      </w:r>
      <w:proofErr w:type="spellStart"/>
      <w:r w:rsidRPr="00E62C69">
        <w:rPr>
          <w:lang w:val="en-US"/>
        </w:rPr>
        <w:t>Kalila</w:t>
      </w:r>
      <w:proofErr w:type="spellEnd"/>
      <w:r w:rsidRPr="00E62C69">
        <w:rPr>
          <w:lang w:val="en-US"/>
        </w:rPr>
        <w:t xml:space="preserve"> </w:t>
      </w:r>
      <w:proofErr w:type="spellStart"/>
      <w:r w:rsidRPr="00E62C69">
        <w:rPr>
          <w:lang w:val="en-US"/>
        </w:rPr>
        <w:t>wa</w:t>
      </w:r>
      <w:proofErr w:type="spellEnd"/>
      <w:r w:rsidRPr="00E62C69">
        <w:rPr>
          <w:lang w:val="en-US"/>
        </w:rPr>
        <w:t xml:space="preserve"> </w:t>
      </w:r>
      <w:proofErr w:type="spellStart"/>
      <w:r w:rsidRPr="00E62C69">
        <w:rPr>
          <w:lang w:val="en-US"/>
        </w:rPr>
        <w:t>Dimna</w:t>
      </w:r>
      <w:proofErr w:type="spellEnd"/>
      <w:r w:rsidRPr="00E62C69">
        <w:rPr>
          <w:lang w:val="en-US"/>
        </w:rPr>
        <w:t xml:space="preserve"> was never seen as a fixed corpus of stories, and later authors and editors felt free to add to, subtract from, and otherwise alter its contents. Scholars from the nineteenth century on­ward have attempted to trace the complex history and origins of the </w:t>
      </w:r>
      <w:proofErr w:type="spellStart"/>
      <w:r w:rsidRPr="00E62C69">
        <w:rPr>
          <w:lang w:val="en-US"/>
        </w:rPr>
        <w:t>Kalila</w:t>
      </w:r>
      <w:proofErr w:type="spellEnd"/>
      <w:r w:rsidRPr="00E62C69">
        <w:rPr>
          <w:lang w:val="en-US"/>
        </w:rPr>
        <w:t xml:space="preserve"> </w:t>
      </w:r>
      <w:proofErr w:type="spellStart"/>
      <w:r w:rsidRPr="00E62C69">
        <w:rPr>
          <w:lang w:val="en-US"/>
        </w:rPr>
        <w:t>wa</w:t>
      </w:r>
      <w:proofErr w:type="spellEnd"/>
      <w:r w:rsidRPr="00E62C69">
        <w:rPr>
          <w:lang w:val="en-US"/>
        </w:rPr>
        <w:t xml:space="preserve"> </w:t>
      </w:r>
      <w:proofErr w:type="spellStart"/>
      <w:r w:rsidRPr="00E62C69">
        <w:rPr>
          <w:lang w:val="en-US"/>
        </w:rPr>
        <w:t>Dimna</w:t>
      </w:r>
      <w:proofErr w:type="spellEnd"/>
      <w:r w:rsidRPr="00E62C69">
        <w:rPr>
          <w:lang w:val="en-US"/>
        </w:rPr>
        <w:t xml:space="preserve"> through both</w:t>
      </w:r>
      <w:r w:rsidRPr="00695DD8">
        <w:rPr>
          <w:b/>
          <w:bCs/>
          <w:lang w:val="en-US"/>
        </w:rPr>
        <w:t xml:space="preserve"> </w:t>
      </w:r>
      <w:r w:rsidRPr="00695DD8">
        <w:rPr>
          <w:lang w:val="en-US"/>
        </w:rPr>
        <w:t xml:space="preserve">literary and art historical analysis. The tradition of illustrating the tales of the </w:t>
      </w:r>
      <w:proofErr w:type="spellStart"/>
      <w:r w:rsidRPr="00695DD8">
        <w:rPr>
          <w:lang w:val="en-US"/>
        </w:rPr>
        <w:t>Kalila</w:t>
      </w:r>
      <w:proofErr w:type="spellEnd"/>
      <w:r w:rsidRPr="00695DD8">
        <w:rPr>
          <w:lang w:val="en-US"/>
        </w:rPr>
        <w:t xml:space="preserve"> </w:t>
      </w:r>
      <w:proofErr w:type="spellStart"/>
      <w:r w:rsidRPr="00695DD8">
        <w:rPr>
          <w:lang w:val="en-US"/>
        </w:rPr>
        <w:t>wa</w:t>
      </w:r>
      <w:proofErr w:type="spellEnd"/>
      <w:r w:rsidRPr="00695DD8">
        <w:rPr>
          <w:lang w:val="en-US"/>
        </w:rPr>
        <w:t xml:space="preserve"> </w:t>
      </w:r>
      <w:proofErr w:type="spellStart"/>
      <w:r w:rsidRPr="00695DD8">
        <w:rPr>
          <w:lang w:val="en-US"/>
        </w:rPr>
        <w:t>Dimna</w:t>
      </w:r>
      <w:proofErr w:type="spellEnd"/>
      <w:r w:rsidRPr="00695DD8">
        <w:rPr>
          <w:lang w:val="en-US"/>
        </w:rPr>
        <w:t xml:space="preserve"> is probably based on older, well-established traditions of illustrating the animal fables of the </w:t>
      </w:r>
      <w:proofErr w:type="spellStart"/>
      <w:r w:rsidRPr="00695DD8">
        <w:rPr>
          <w:lang w:val="en-US"/>
        </w:rPr>
        <w:t>Pancatantra</w:t>
      </w:r>
      <w:proofErr w:type="spellEnd"/>
      <w:r w:rsidRPr="00695DD8">
        <w:rPr>
          <w:lang w:val="en-US"/>
        </w:rPr>
        <w:t xml:space="preserve">. Eighth-century frescoes found at </w:t>
      </w:r>
      <w:proofErr w:type="spellStart"/>
      <w:r w:rsidRPr="00695DD8">
        <w:rPr>
          <w:lang w:val="en-US"/>
        </w:rPr>
        <w:t>Panjikent</w:t>
      </w:r>
      <w:proofErr w:type="spellEnd"/>
      <w:r w:rsidRPr="00695DD8">
        <w:rPr>
          <w:lang w:val="en-US"/>
        </w:rPr>
        <w:t xml:space="preserve">, near Samarkand, that include depictions of the </w:t>
      </w:r>
      <w:proofErr w:type="spellStart"/>
      <w:r w:rsidRPr="00695DD8">
        <w:rPr>
          <w:lang w:val="en-US"/>
        </w:rPr>
        <w:t>Pancatantra</w:t>
      </w:r>
      <w:proofErr w:type="spellEnd"/>
      <w:r w:rsidRPr="00695DD8">
        <w:rPr>
          <w:lang w:val="en-US"/>
        </w:rPr>
        <w:t xml:space="preserve"> tales attest to a well-established iconographic tradition that was later absorbed and adapted in the Muslim Near East.</w:t>
      </w:r>
      <w:r w:rsidR="00855672">
        <w:rPr>
          <w:lang w:val="en-US"/>
        </w:rPr>
        <w:t xml:space="preserve"> </w:t>
      </w:r>
    </w:p>
    <w:p w14:paraId="7D754B7A" w14:textId="3CE7B4E2" w:rsidR="00E77F40" w:rsidRPr="00E77F40" w:rsidRDefault="00E77F40" w:rsidP="00695DD8">
      <w:pPr>
        <w:rPr>
          <w:b/>
          <w:bCs/>
          <w:lang w:val="en-US"/>
        </w:rPr>
      </w:pPr>
      <w:r w:rsidRPr="00E77F40">
        <w:rPr>
          <w:b/>
          <w:bCs/>
          <w:lang w:val="en-US"/>
        </w:rPr>
        <w:t>Purpose</w:t>
      </w:r>
    </w:p>
    <w:p w14:paraId="24BD19A7" w14:textId="28F69606" w:rsidR="00DC24D9" w:rsidRDefault="00695DD8" w:rsidP="00695DD8">
      <w:pPr>
        <w:rPr>
          <w:lang w:val="en-US"/>
        </w:rPr>
      </w:pPr>
      <w:r w:rsidRPr="00695DD8">
        <w:rPr>
          <w:lang w:val="en-US"/>
        </w:rPr>
        <w:t>Ibn al-</w:t>
      </w:r>
      <w:proofErr w:type="spellStart"/>
      <w:r w:rsidR="003B4B7F" w:rsidRPr="00695DD8">
        <w:rPr>
          <w:lang w:val="en-US"/>
        </w:rPr>
        <w:t>Mugaffa</w:t>
      </w:r>
      <w:proofErr w:type="spellEnd"/>
      <w:r w:rsidR="003B4B7F" w:rsidRPr="00695DD8">
        <w:rPr>
          <w:lang w:val="en-US"/>
        </w:rPr>
        <w:t xml:space="preserve"> ‘states</w:t>
      </w:r>
      <w:r w:rsidRPr="00695DD8">
        <w:rPr>
          <w:lang w:val="en-US"/>
        </w:rPr>
        <w:t xml:space="preserve"> in his introduction the four­-fold purpose of the </w:t>
      </w:r>
      <w:proofErr w:type="spellStart"/>
      <w:r w:rsidRPr="00695DD8">
        <w:rPr>
          <w:lang w:val="en-US"/>
        </w:rPr>
        <w:t>Kalila</w:t>
      </w:r>
      <w:proofErr w:type="spellEnd"/>
      <w:r w:rsidRPr="00695DD8">
        <w:rPr>
          <w:lang w:val="en-US"/>
        </w:rPr>
        <w:t xml:space="preserve"> </w:t>
      </w:r>
      <w:proofErr w:type="spellStart"/>
      <w:r w:rsidRPr="00695DD8">
        <w:rPr>
          <w:lang w:val="en-US"/>
        </w:rPr>
        <w:t>wa</w:t>
      </w:r>
      <w:proofErr w:type="spellEnd"/>
      <w:r w:rsidRPr="00695DD8">
        <w:rPr>
          <w:lang w:val="en-US"/>
        </w:rPr>
        <w:t xml:space="preserve"> </w:t>
      </w:r>
      <w:proofErr w:type="spellStart"/>
      <w:r w:rsidRPr="00695DD8">
        <w:rPr>
          <w:lang w:val="en-US"/>
        </w:rPr>
        <w:t>Dimna</w:t>
      </w:r>
      <w:proofErr w:type="spellEnd"/>
      <w:r w:rsidRPr="00695DD8">
        <w:rPr>
          <w:lang w:val="en-US"/>
        </w:rPr>
        <w:t>:</w:t>
      </w:r>
    </w:p>
    <w:p w14:paraId="18B5F1B9" w14:textId="50DC0BCA" w:rsidR="00CD706F" w:rsidRDefault="00695DD8" w:rsidP="00695DD8">
      <w:pPr>
        <w:rPr>
          <w:lang w:val="en-US"/>
        </w:rPr>
      </w:pPr>
      <w:r w:rsidRPr="00695DD8">
        <w:rPr>
          <w:lang w:val="en-US"/>
        </w:rPr>
        <w:t xml:space="preserve"> (1) to engage the youth through the vehicle of animal fables; (2) to delight the hearts of princes through richly illustrated depictions of the tales; (3) to entice kings and common folk everywhere to acquire their own copies and benefit the painters and scribes and (4) to engage the philosophers in the wisdom of its tales</w:t>
      </w:r>
      <w:r>
        <w:rPr>
          <w:lang w:val="en-US"/>
        </w:rPr>
        <w:t xml:space="preserve">. </w:t>
      </w:r>
    </w:p>
    <w:p w14:paraId="5DCFD26B" w14:textId="6579FEFE" w:rsidR="00CD05A4" w:rsidRDefault="00E62C69" w:rsidP="00695DD8">
      <w:pPr>
        <w:rPr>
          <w:b/>
          <w:bCs/>
          <w:lang w:val="en-US"/>
        </w:rPr>
      </w:pPr>
      <w:r w:rsidRPr="00E62C69">
        <w:rPr>
          <w:b/>
          <w:bCs/>
          <w:lang w:val="en-US"/>
        </w:rPr>
        <w:t xml:space="preserve">Reference: </w:t>
      </w:r>
      <w:hyperlink r:id="rId8" w:history="1">
        <w:r w:rsidRPr="006C356D">
          <w:rPr>
            <w:rStyle w:val="Hyperlink"/>
            <w:b/>
            <w:bCs/>
            <w:lang w:val="en-US"/>
          </w:rPr>
          <w:t>https://iis.ac.uk/kalila-wa-dimna</w:t>
        </w:r>
      </w:hyperlink>
    </w:p>
    <w:p w14:paraId="4EBF4A7C" w14:textId="5FEBD56A" w:rsidR="001E12E1" w:rsidRDefault="001E12E1" w:rsidP="00695DD8">
      <w:pPr>
        <w:rPr>
          <w:b/>
          <w:bCs/>
          <w:lang w:val="en-US"/>
        </w:rPr>
      </w:pPr>
      <w:r>
        <w:rPr>
          <w:b/>
          <w:bCs/>
          <w:lang w:val="en-US"/>
        </w:rPr>
        <w:t>Assignment</w:t>
      </w:r>
      <w:r w:rsidR="000937C6">
        <w:rPr>
          <w:b/>
          <w:bCs/>
          <w:lang w:val="en-US"/>
        </w:rPr>
        <w:t>: please prepare the following</w:t>
      </w:r>
      <w:r w:rsidR="0084601B">
        <w:rPr>
          <w:b/>
          <w:bCs/>
          <w:lang w:val="en-US"/>
        </w:rPr>
        <w:t xml:space="preserve"> mention</w:t>
      </w:r>
      <w:r w:rsidR="000937C6">
        <w:rPr>
          <w:b/>
          <w:bCs/>
          <w:lang w:val="en-US"/>
        </w:rPr>
        <w:t xml:space="preserve"> below. Every student should prepare their own assignment individually. Same assignment would not be acceptable. </w:t>
      </w:r>
    </w:p>
    <w:p w14:paraId="720C02DA" w14:textId="101F772A" w:rsidR="005941E8" w:rsidRDefault="00CD05A4" w:rsidP="00695DD8">
      <w:pPr>
        <w:rPr>
          <w:b/>
          <w:bCs/>
          <w:lang w:val="en-US"/>
        </w:rPr>
      </w:pPr>
      <w:r>
        <w:rPr>
          <w:b/>
          <w:bCs/>
          <w:lang w:val="en-US"/>
        </w:rPr>
        <w:t>short questions</w:t>
      </w:r>
      <w:r w:rsidR="00652E14">
        <w:rPr>
          <w:b/>
          <w:bCs/>
          <w:lang w:val="en-US"/>
        </w:rPr>
        <w:t>: 10</w:t>
      </w:r>
    </w:p>
    <w:p w14:paraId="583D8777" w14:textId="24F85E4E" w:rsidR="00CD05A4" w:rsidRDefault="00CD05A4" w:rsidP="00695DD8">
      <w:pPr>
        <w:rPr>
          <w:b/>
          <w:bCs/>
          <w:lang w:val="en-US"/>
        </w:rPr>
      </w:pPr>
      <w:r>
        <w:rPr>
          <w:b/>
          <w:bCs/>
          <w:lang w:val="en-US"/>
        </w:rPr>
        <w:t>objectives</w:t>
      </w:r>
      <w:r w:rsidR="00652E14">
        <w:rPr>
          <w:b/>
          <w:bCs/>
          <w:lang w:val="en-US"/>
        </w:rPr>
        <w:t>: 15</w:t>
      </w:r>
      <w:r>
        <w:rPr>
          <w:b/>
          <w:bCs/>
          <w:lang w:val="en-US"/>
        </w:rPr>
        <w:t xml:space="preserve"> </w:t>
      </w:r>
    </w:p>
    <w:p w14:paraId="1D37A2EC" w14:textId="03DDADA4" w:rsidR="000937C6" w:rsidRDefault="000937C6" w:rsidP="00695DD8">
      <w:pPr>
        <w:rPr>
          <w:b/>
          <w:bCs/>
          <w:lang w:val="en-US"/>
        </w:rPr>
      </w:pPr>
      <w:r>
        <w:rPr>
          <w:b/>
          <w:bCs/>
          <w:lang w:val="en-US"/>
        </w:rPr>
        <w:t xml:space="preserve">Marks: 10 </w:t>
      </w:r>
    </w:p>
    <w:p w14:paraId="36848264" w14:textId="77777777" w:rsidR="00475D2E" w:rsidRDefault="00475D2E" w:rsidP="00695DD8">
      <w:pPr>
        <w:rPr>
          <w:b/>
          <w:bCs/>
          <w:lang w:val="en-US"/>
        </w:rPr>
      </w:pPr>
    </w:p>
    <w:p w14:paraId="4E6B655C" w14:textId="77777777" w:rsidR="00964258" w:rsidRDefault="00964258" w:rsidP="00695DD8">
      <w:pPr>
        <w:rPr>
          <w:b/>
          <w:bCs/>
          <w:lang w:val="en-US"/>
        </w:rPr>
      </w:pPr>
    </w:p>
    <w:p w14:paraId="7B2048FF" w14:textId="77777777" w:rsidR="00E62C69" w:rsidRPr="00E62C69" w:rsidRDefault="00E62C69" w:rsidP="00695DD8">
      <w:pPr>
        <w:rPr>
          <w:b/>
          <w:bCs/>
          <w:lang w:val="en-US"/>
        </w:rPr>
      </w:pPr>
    </w:p>
    <w:p w14:paraId="47EEF0CE" w14:textId="69D53E80" w:rsidR="00CD706F" w:rsidRDefault="00CD706F" w:rsidP="004E7255">
      <w:pPr>
        <w:rPr>
          <w:lang w:val="en-US"/>
        </w:rPr>
      </w:pPr>
    </w:p>
    <w:p w14:paraId="4915C7EC" w14:textId="77777777" w:rsidR="00325834" w:rsidRPr="0089109E" w:rsidRDefault="00325834" w:rsidP="004E7255">
      <w:pPr>
        <w:rPr>
          <w:lang w:val="en-US"/>
        </w:rPr>
      </w:pPr>
    </w:p>
    <w:p w14:paraId="76DC7E3E" w14:textId="77777777" w:rsidR="00E3247D" w:rsidRPr="00DF7B2B" w:rsidRDefault="00E3247D" w:rsidP="00DF7B2B">
      <w:pPr>
        <w:ind w:left="360"/>
        <w:rPr>
          <w:lang w:val="en-US"/>
        </w:rPr>
      </w:pPr>
    </w:p>
    <w:p w14:paraId="592F0E47" w14:textId="77777777" w:rsidR="00BA5DF5" w:rsidRDefault="00BA5DF5" w:rsidP="002D08DD"/>
    <w:sectPr w:rsidR="00BA5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B090A"/>
    <w:multiLevelType w:val="hybridMultilevel"/>
    <w:tmpl w:val="FE3CF12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EE46A5B"/>
    <w:multiLevelType w:val="hybridMultilevel"/>
    <w:tmpl w:val="1BB8B1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DD"/>
    <w:rsid w:val="00002D2C"/>
    <w:rsid w:val="000937C6"/>
    <w:rsid w:val="00124B29"/>
    <w:rsid w:val="00193A3F"/>
    <w:rsid w:val="001A1922"/>
    <w:rsid w:val="001A3E4F"/>
    <w:rsid w:val="001B061C"/>
    <w:rsid w:val="001E12E1"/>
    <w:rsid w:val="00245310"/>
    <w:rsid w:val="00282AB3"/>
    <w:rsid w:val="002C7FEA"/>
    <w:rsid w:val="002D08DD"/>
    <w:rsid w:val="002F25C4"/>
    <w:rsid w:val="00325834"/>
    <w:rsid w:val="003B4B7F"/>
    <w:rsid w:val="003F7B22"/>
    <w:rsid w:val="00403C60"/>
    <w:rsid w:val="00457E7D"/>
    <w:rsid w:val="00475D2E"/>
    <w:rsid w:val="00486896"/>
    <w:rsid w:val="004A0C88"/>
    <w:rsid w:val="004A4825"/>
    <w:rsid w:val="004E7255"/>
    <w:rsid w:val="005334FB"/>
    <w:rsid w:val="00547E39"/>
    <w:rsid w:val="005941E8"/>
    <w:rsid w:val="00652E14"/>
    <w:rsid w:val="006866BE"/>
    <w:rsid w:val="00695DD8"/>
    <w:rsid w:val="007528F6"/>
    <w:rsid w:val="0084601B"/>
    <w:rsid w:val="00855672"/>
    <w:rsid w:val="0089109E"/>
    <w:rsid w:val="00964258"/>
    <w:rsid w:val="00A304D9"/>
    <w:rsid w:val="00AF5549"/>
    <w:rsid w:val="00BA5DF5"/>
    <w:rsid w:val="00BB4196"/>
    <w:rsid w:val="00BD3D7D"/>
    <w:rsid w:val="00C458EC"/>
    <w:rsid w:val="00C74A49"/>
    <w:rsid w:val="00CD05A4"/>
    <w:rsid w:val="00CD706F"/>
    <w:rsid w:val="00D0412F"/>
    <w:rsid w:val="00D3722F"/>
    <w:rsid w:val="00DC24D9"/>
    <w:rsid w:val="00DF7B2B"/>
    <w:rsid w:val="00E3247D"/>
    <w:rsid w:val="00E62C69"/>
    <w:rsid w:val="00E77F40"/>
    <w:rsid w:val="00F91769"/>
    <w:rsid w:val="00FD57C0"/>
    <w:rsid w:val="00FD7C4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AFB3"/>
  <w15:chartTrackingRefBased/>
  <w15:docId w15:val="{88CA4508-8CFA-42C1-90C1-DF3E8D8E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C48"/>
    <w:rPr>
      <w:color w:val="0563C1" w:themeColor="hyperlink"/>
      <w:u w:val="single"/>
    </w:rPr>
  </w:style>
  <w:style w:type="character" w:styleId="UnresolvedMention">
    <w:name w:val="Unresolved Mention"/>
    <w:basedOn w:val="DefaultParagraphFont"/>
    <w:uiPriority w:val="99"/>
    <w:semiHidden/>
    <w:unhideWhenUsed/>
    <w:rsid w:val="00FD7C48"/>
    <w:rPr>
      <w:color w:val="605E5C"/>
      <w:shd w:val="clear" w:color="auto" w:fill="E1DFDD"/>
    </w:rPr>
  </w:style>
  <w:style w:type="paragraph" w:styleId="ListParagraph">
    <w:name w:val="List Paragraph"/>
    <w:basedOn w:val="Normal"/>
    <w:uiPriority w:val="34"/>
    <w:qFormat/>
    <w:rsid w:val="00BB4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s.ac.uk/kalila-wa-dimna" TargetMode="External"/><Relationship Id="rId3" Type="http://schemas.openxmlformats.org/officeDocument/2006/relationships/settings" Target="settings.xml"/><Relationship Id="rId7" Type="http://schemas.openxmlformats.org/officeDocument/2006/relationships/hyperlink" Target="https://asia.si.edu/object/F193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tsanddetails.com/world/cat55/3sub2/entry-5228.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shumaila islam</dc:creator>
  <cp:keywords/>
  <dc:description/>
  <cp:lastModifiedBy>shumaila islam</cp:lastModifiedBy>
  <cp:revision>51</cp:revision>
  <dcterms:created xsi:type="dcterms:W3CDTF">2020-04-01T08:18:00Z</dcterms:created>
  <dcterms:modified xsi:type="dcterms:W3CDTF">2020-04-08T06:45:00Z</dcterms:modified>
</cp:coreProperties>
</file>