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97" w:rsidRPr="00F82543" w:rsidRDefault="006E4197" w:rsidP="006E4197">
      <w:pPr>
        <w:jc w:val="both"/>
        <w:rPr>
          <w:rFonts w:ascii="Times New Roman" w:hAnsi="Times New Roman" w:cs="Times New Roman"/>
          <w:b/>
          <w:sz w:val="24"/>
          <w:szCs w:val="24"/>
          <w:shd w:val="clear" w:color="auto" w:fill="FFFFFF"/>
        </w:rPr>
      </w:pPr>
      <w:r w:rsidRPr="00F82543">
        <w:rPr>
          <w:rFonts w:ascii="Times New Roman" w:hAnsi="Times New Roman" w:cs="Times New Roman"/>
          <w:b/>
          <w:sz w:val="24"/>
          <w:szCs w:val="24"/>
          <w:shd w:val="clear" w:color="auto" w:fill="FFFFFF"/>
        </w:rPr>
        <w:t>Media Logic</w:t>
      </w:r>
    </w:p>
    <w:p w:rsidR="001C22E6" w:rsidRPr="00F82543" w:rsidRDefault="00D64078" w:rsidP="006E4197">
      <w:pPr>
        <w:jc w:val="both"/>
        <w:rPr>
          <w:rFonts w:ascii="Times New Roman" w:hAnsi="Times New Roman" w:cs="Times New Roman"/>
          <w:sz w:val="24"/>
          <w:szCs w:val="24"/>
          <w:shd w:val="clear" w:color="auto" w:fill="FFFFFF"/>
        </w:rPr>
      </w:pPr>
      <w:proofErr w:type="spellStart"/>
      <w:r w:rsidRPr="00F82543">
        <w:rPr>
          <w:rFonts w:ascii="Times New Roman" w:hAnsi="Times New Roman" w:cs="Times New Roman"/>
          <w:sz w:val="24"/>
          <w:szCs w:val="24"/>
          <w:shd w:val="clear" w:color="auto" w:fill="FFFFFF"/>
        </w:rPr>
        <w:t>Medialogic</w:t>
      </w:r>
      <w:proofErr w:type="spellEnd"/>
      <w:r w:rsidRPr="00F82543">
        <w:rPr>
          <w:rFonts w:ascii="Times New Roman" w:hAnsi="Times New Roman" w:cs="Times New Roman"/>
          <w:sz w:val="24"/>
          <w:szCs w:val="24"/>
          <w:shd w:val="clear" w:color="auto" w:fill="FFFFFF"/>
        </w:rPr>
        <w:t xml:space="preserve"> was set up in 2007 to address the data requirements of a burgeoning Television industry in Pakistan. </w:t>
      </w:r>
      <w:proofErr w:type="spellStart"/>
      <w:r w:rsidRPr="00F82543">
        <w:rPr>
          <w:rFonts w:ascii="Times New Roman" w:hAnsi="Times New Roman" w:cs="Times New Roman"/>
          <w:sz w:val="24"/>
          <w:szCs w:val="24"/>
          <w:shd w:val="clear" w:color="auto" w:fill="FFFFFF"/>
        </w:rPr>
        <w:t>Medialogic</w:t>
      </w:r>
      <w:proofErr w:type="spellEnd"/>
      <w:r w:rsidRPr="00F82543">
        <w:rPr>
          <w:rFonts w:ascii="Times New Roman" w:hAnsi="Times New Roman" w:cs="Times New Roman"/>
          <w:sz w:val="24"/>
          <w:szCs w:val="24"/>
          <w:shd w:val="clear" w:color="auto" w:fill="FFFFFF"/>
        </w:rPr>
        <w:t xml:space="preserve"> is an overnight TV Ratings provider in the country. The initial panel covering three cities was expanded initially to five cities in 2010 and currently the panel covers top thirty cities with approximately 2,050 households, enabling robust coverage of Pakistan’s </w:t>
      </w:r>
      <w:proofErr w:type="gramStart"/>
      <w:r w:rsidRPr="00F82543">
        <w:rPr>
          <w:rFonts w:ascii="Times New Roman" w:hAnsi="Times New Roman" w:cs="Times New Roman"/>
          <w:sz w:val="24"/>
          <w:szCs w:val="24"/>
          <w:shd w:val="clear" w:color="auto" w:fill="FFFFFF"/>
        </w:rPr>
        <w:t>Urban</w:t>
      </w:r>
      <w:proofErr w:type="gramEnd"/>
      <w:r w:rsidRPr="00F82543">
        <w:rPr>
          <w:rFonts w:ascii="Times New Roman" w:hAnsi="Times New Roman" w:cs="Times New Roman"/>
          <w:sz w:val="24"/>
          <w:szCs w:val="24"/>
          <w:shd w:val="clear" w:color="auto" w:fill="FFFFFF"/>
        </w:rPr>
        <w:t xml:space="preserve"> population. </w:t>
      </w:r>
      <w:proofErr w:type="spellStart"/>
      <w:r w:rsidRPr="00F82543">
        <w:rPr>
          <w:rFonts w:ascii="Times New Roman" w:hAnsi="Times New Roman" w:cs="Times New Roman"/>
          <w:sz w:val="24"/>
          <w:szCs w:val="24"/>
          <w:shd w:val="clear" w:color="auto" w:fill="FFFFFF"/>
        </w:rPr>
        <w:t>Medialogic</w:t>
      </w:r>
      <w:proofErr w:type="spellEnd"/>
      <w:r w:rsidRPr="00F82543">
        <w:rPr>
          <w:rFonts w:ascii="Times New Roman" w:hAnsi="Times New Roman" w:cs="Times New Roman"/>
          <w:sz w:val="24"/>
          <w:szCs w:val="24"/>
          <w:shd w:val="clear" w:color="auto" w:fill="FFFFFF"/>
        </w:rPr>
        <w:t xml:space="preserve"> data today forms the basis of media decisions taken by Broadcasters, Advertisers and Media Agencies across Pakistan.</w:t>
      </w:r>
    </w:p>
    <w:p w:rsidR="00D64078" w:rsidRPr="00F82543" w:rsidRDefault="00D64078" w:rsidP="006E4197">
      <w:pPr>
        <w:shd w:val="clear" w:color="auto" w:fill="FFFFFF"/>
        <w:spacing w:after="150" w:line="330" w:lineRule="atLeast"/>
        <w:jc w:val="both"/>
        <w:rPr>
          <w:rFonts w:ascii="Times New Roman" w:eastAsia="Times New Roman" w:hAnsi="Times New Roman" w:cs="Times New Roman"/>
          <w:sz w:val="24"/>
          <w:szCs w:val="24"/>
        </w:rPr>
      </w:pPr>
      <w:proofErr w:type="spellStart"/>
      <w:r w:rsidRPr="00F82543">
        <w:rPr>
          <w:rFonts w:ascii="Times New Roman" w:eastAsia="Times New Roman" w:hAnsi="Times New Roman" w:cs="Times New Roman"/>
          <w:sz w:val="24"/>
          <w:szCs w:val="24"/>
        </w:rPr>
        <w:t>Medialogic</w:t>
      </w:r>
      <w:proofErr w:type="spellEnd"/>
      <w:r w:rsidRPr="00F82543">
        <w:rPr>
          <w:rFonts w:ascii="Times New Roman" w:eastAsia="Times New Roman" w:hAnsi="Times New Roman" w:cs="Times New Roman"/>
          <w:sz w:val="24"/>
          <w:szCs w:val="24"/>
        </w:rPr>
        <w:t xml:space="preserve"> partners with Kantar Media Audiences for delivering future</w:t>
      </w:r>
      <w:r w:rsidR="00FC5351" w:rsidRPr="00F82543">
        <w:rPr>
          <w:rFonts w:ascii="Times New Roman" w:eastAsia="Times New Roman" w:hAnsi="Times New Roman" w:cs="Times New Roman"/>
          <w:sz w:val="24"/>
          <w:szCs w:val="24"/>
        </w:rPr>
        <w:t xml:space="preserve"> </w:t>
      </w:r>
      <w:r w:rsidRPr="00F82543">
        <w:rPr>
          <w:rFonts w:ascii="Times New Roman" w:eastAsia="Times New Roman" w:hAnsi="Times New Roman" w:cs="Times New Roman"/>
          <w:sz w:val="24"/>
          <w:szCs w:val="24"/>
        </w:rPr>
        <w:t>proof TV Audience Measurement Technology in Pakistan.</w:t>
      </w:r>
    </w:p>
    <w:p w:rsidR="00D64078" w:rsidRPr="00F82543" w:rsidRDefault="00D64078" w:rsidP="006E4197">
      <w:pPr>
        <w:numPr>
          <w:ilvl w:val="0"/>
          <w:numId w:val="1"/>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Instar Analytics</w:t>
      </w:r>
    </w:p>
    <w:p w:rsidR="00D64078" w:rsidRPr="00F82543" w:rsidRDefault="00D64078" w:rsidP="006E4197">
      <w:pPr>
        <w:numPr>
          <w:ilvl w:val="0"/>
          <w:numId w:val="1"/>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Kantar</w:t>
      </w:r>
    </w:p>
    <w:p w:rsidR="008E6627" w:rsidRPr="00F82543" w:rsidRDefault="00D64078" w:rsidP="006E4197">
      <w:pPr>
        <w:shd w:val="clear" w:color="auto" w:fill="FFFFFF"/>
        <w:spacing w:after="150" w:line="330" w:lineRule="atLeast"/>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 xml:space="preserve">Media logic’s Clients include Advertisers, </w:t>
      </w:r>
      <w:proofErr w:type="spellStart"/>
      <w:r w:rsidRPr="00F82543">
        <w:rPr>
          <w:rFonts w:ascii="Times New Roman" w:eastAsia="Times New Roman" w:hAnsi="Times New Roman" w:cs="Times New Roman"/>
          <w:sz w:val="24"/>
          <w:szCs w:val="24"/>
        </w:rPr>
        <w:t>Braodcasters</w:t>
      </w:r>
      <w:proofErr w:type="spellEnd"/>
      <w:r w:rsidRPr="00F82543">
        <w:rPr>
          <w:rFonts w:ascii="Times New Roman" w:eastAsia="Times New Roman" w:hAnsi="Times New Roman" w:cs="Times New Roman"/>
          <w:sz w:val="24"/>
          <w:szCs w:val="24"/>
        </w:rPr>
        <w:t xml:space="preserve"> and Media Agencies as well as Government Agencies and NGOs looking to understand TV Viewership trends.</w:t>
      </w:r>
      <w:r w:rsidRPr="00F82543">
        <w:rPr>
          <w:rFonts w:ascii="Times New Roman" w:eastAsia="Times New Roman" w:hAnsi="Times New Roman" w:cs="Times New Roman"/>
          <w:sz w:val="24"/>
          <w:szCs w:val="24"/>
        </w:rPr>
        <w:br/>
        <w:t xml:space="preserve">ADVERTISERS gain insight into decisions affecting millions of </w:t>
      </w:r>
      <w:proofErr w:type="spellStart"/>
      <w:r w:rsidR="00105A59" w:rsidRPr="00F82543">
        <w:rPr>
          <w:rFonts w:ascii="Times New Roman" w:eastAsia="Times New Roman" w:hAnsi="Times New Roman" w:cs="Times New Roman"/>
          <w:sz w:val="24"/>
          <w:szCs w:val="24"/>
        </w:rPr>
        <w:t>dollars worth</w:t>
      </w:r>
      <w:proofErr w:type="spellEnd"/>
      <w:r w:rsidRPr="00F82543">
        <w:rPr>
          <w:rFonts w:ascii="Times New Roman" w:eastAsia="Times New Roman" w:hAnsi="Times New Roman" w:cs="Times New Roman"/>
          <w:sz w:val="24"/>
          <w:szCs w:val="24"/>
        </w:rPr>
        <w:t xml:space="preserve"> of TV Ad Spend. </w:t>
      </w:r>
    </w:p>
    <w:p w:rsidR="00D64078" w:rsidRPr="00F82543" w:rsidRDefault="006E4197" w:rsidP="008E6627">
      <w:pPr>
        <w:shd w:val="clear" w:color="auto" w:fill="FFFFFF"/>
        <w:spacing w:after="150" w:line="330" w:lineRule="atLeast"/>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 xml:space="preserve">The company </w:t>
      </w:r>
      <w:r w:rsidR="00D64078" w:rsidRPr="00F82543">
        <w:rPr>
          <w:rFonts w:ascii="Times New Roman" w:eastAsia="Times New Roman" w:hAnsi="Times New Roman" w:cs="Times New Roman"/>
          <w:sz w:val="24"/>
          <w:szCs w:val="24"/>
        </w:rPr>
        <w:t>deliver</w:t>
      </w:r>
      <w:r w:rsidRPr="00F82543">
        <w:rPr>
          <w:rFonts w:ascii="Times New Roman" w:eastAsia="Times New Roman" w:hAnsi="Times New Roman" w:cs="Times New Roman"/>
          <w:sz w:val="24"/>
          <w:szCs w:val="24"/>
        </w:rPr>
        <w:t>s</w:t>
      </w:r>
      <w:r w:rsidR="008E6627" w:rsidRPr="00F82543">
        <w:rPr>
          <w:rFonts w:ascii="Times New Roman" w:eastAsia="Times New Roman" w:hAnsi="Times New Roman" w:cs="Times New Roman"/>
          <w:sz w:val="24"/>
          <w:szCs w:val="24"/>
        </w:rPr>
        <w:t xml:space="preserve"> (according to the claims of company on its website)</w:t>
      </w:r>
      <w:r w:rsidR="00D64078" w:rsidRPr="00F82543">
        <w:rPr>
          <w:rFonts w:ascii="Times New Roman" w:eastAsia="Times New Roman" w:hAnsi="Times New Roman" w:cs="Times New Roman"/>
          <w:sz w:val="24"/>
          <w:szCs w:val="24"/>
        </w:rPr>
        <w:t>:</w:t>
      </w:r>
    </w:p>
    <w:p w:rsidR="00D64078" w:rsidRPr="00F82543" w:rsidRDefault="00D64078" w:rsidP="006E4197">
      <w:pPr>
        <w:numPr>
          <w:ilvl w:val="0"/>
          <w:numId w:val="2"/>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Accurate and Reliable Program/Time Slot ratings</w:t>
      </w:r>
    </w:p>
    <w:p w:rsidR="00D64078" w:rsidRPr="00F82543" w:rsidRDefault="00D64078" w:rsidP="006E4197">
      <w:pPr>
        <w:numPr>
          <w:ilvl w:val="0"/>
          <w:numId w:val="2"/>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Separate Program and Break Ratings</w:t>
      </w:r>
    </w:p>
    <w:p w:rsidR="00D64078" w:rsidRPr="00F82543" w:rsidRDefault="00D64078" w:rsidP="006E4197">
      <w:pPr>
        <w:numPr>
          <w:ilvl w:val="0"/>
          <w:numId w:val="2"/>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Ability to slice data by Target User Groups thereby matching a Brand’s target audience with Media Audience, and generating efficiencies in spends. More than 260 variables will be available to view the data as per customized requirements.</w:t>
      </w:r>
    </w:p>
    <w:p w:rsidR="00D64078" w:rsidRPr="00F82543" w:rsidRDefault="00D64078" w:rsidP="006E4197">
      <w:pPr>
        <w:numPr>
          <w:ilvl w:val="0"/>
          <w:numId w:val="2"/>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First Day Viewership Reports of New Launches/Ads</w:t>
      </w:r>
    </w:p>
    <w:p w:rsidR="00D64078" w:rsidRPr="00F82543" w:rsidRDefault="00D64078" w:rsidP="006E4197">
      <w:pPr>
        <w:numPr>
          <w:ilvl w:val="0"/>
          <w:numId w:val="2"/>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Industry-wise Rankings on Spend /Time Slots /Target Audience and other specialized Analysis tools</w:t>
      </w:r>
    </w:p>
    <w:p w:rsidR="00D64078" w:rsidRPr="00F82543" w:rsidRDefault="00D64078" w:rsidP="006E4197">
      <w:pPr>
        <w:shd w:val="clear" w:color="auto" w:fill="FFFFFF"/>
        <w:spacing w:after="150" w:line="330" w:lineRule="atLeast"/>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BROADCASTERS naturally base their sales on TV Viewership data but also gain competitive understanding of the media landscape through:</w:t>
      </w:r>
    </w:p>
    <w:p w:rsidR="00D64078" w:rsidRPr="00F82543" w:rsidRDefault="00D64078" w:rsidP="006E4197">
      <w:pPr>
        <w:numPr>
          <w:ilvl w:val="0"/>
          <w:numId w:val="3"/>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 xml:space="preserve">Viewer Migration i.e. where did the </w:t>
      </w:r>
      <w:proofErr w:type="spellStart"/>
      <w:r w:rsidRPr="00F82543">
        <w:rPr>
          <w:rFonts w:ascii="Times New Roman" w:eastAsia="Times New Roman" w:hAnsi="Times New Roman" w:cs="Times New Roman"/>
          <w:sz w:val="24"/>
          <w:szCs w:val="24"/>
        </w:rPr>
        <w:t>viewers</w:t>
      </w:r>
      <w:proofErr w:type="spellEnd"/>
      <w:r w:rsidRPr="00F82543">
        <w:rPr>
          <w:rFonts w:ascii="Times New Roman" w:eastAsia="Times New Roman" w:hAnsi="Times New Roman" w:cs="Times New Roman"/>
          <w:sz w:val="24"/>
          <w:szCs w:val="24"/>
        </w:rPr>
        <w:t xml:space="preserve"> switch from</w:t>
      </w:r>
    </w:p>
    <w:p w:rsidR="00D64078" w:rsidRPr="00F82543" w:rsidRDefault="00D64078" w:rsidP="006E4197">
      <w:pPr>
        <w:numPr>
          <w:ilvl w:val="0"/>
          <w:numId w:val="3"/>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Profile of viewers</w:t>
      </w:r>
    </w:p>
    <w:p w:rsidR="00D64078" w:rsidRPr="00F82543" w:rsidRDefault="00D64078" w:rsidP="006E4197">
      <w:pPr>
        <w:numPr>
          <w:ilvl w:val="0"/>
          <w:numId w:val="3"/>
        </w:numPr>
        <w:shd w:val="clear" w:color="auto" w:fill="FFFFFF"/>
        <w:spacing w:beforeAutospacing="1" w:after="75" w:line="300" w:lineRule="atLeast"/>
        <w:ind w:left="0"/>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Hit Lists and Analysis on New programming</w:t>
      </w:r>
    </w:p>
    <w:p w:rsidR="00D64078" w:rsidRPr="00F82543" w:rsidRDefault="00D64078" w:rsidP="006E4197">
      <w:pPr>
        <w:shd w:val="clear" w:color="auto" w:fill="FFFFFF"/>
        <w:spacing w:after="150" w:line="330" w:lineRule="atLeast"/>
        <w:jc w:val="both"/>
        <w:rPr>
          <w:rFonts w:ascii="Times New Roman" w:eastAsia="Times New Roman" w:hAnsi="Times New Roman" w:cs="Times New Roman"/>
          <w:sz w:val="24"/>
          <w:szCs w:val="24"/>
        </w:rPr>
      </w:pPr>
      <w:r w:rsidRPr="00F82543">
        <w:rPr>
          <w:rFonts w:ascii="Times New Roman" w:eastAsia="Times New Roman" w:hAnsi="Times New Roman" w:cs="Times New Roman"/>
          <w:sz w:val="24"/>
          <w:szCs w:val="24"/>
        </w:rPr>
        <w:t>MEDIA AGENCIES stand to benefit though optimal utilization of their tools and software that are typically designed to use people Meter outputs. With this data, Media Buying and planning can add greater value to their clients, media plans and generate considerable savings and efficiencies in Media Buying and planning.</w:t>
      </w:r>
    </w:p>
    <w:p w:rsidR="0090794C" w:rsidRPr="00F82543" w:rsidRDefault="0090794C" w:rsidP="0090794C">
      <w:pPr>
        <w:pStyle w:val="Heading2"/>
        <w:shd w:val="clear" w:color="auto" w:fill="FFFFFF"/>
        <w:spacing w:before="150" w:beforeAutospacing="0" w:after="150" w:afterAutospacing="0" w:line="600" w:lineRule="atLeast"/>
        <w:jc w:val="both"/>
        <w:rPr>
          <w:bCs w:val="0"/>
          <w:spacing w:val="-15"/>
          <w:sz w:val="24"/>
          <w:szCs w:val="24"/>
        </w:rPr>
      </w:pPr>
      <w:r w:rsidRPr="00F82543">
        <w:rPr>
          <w:bCs w:val="0"/>
          <w:spacing w:val="-15"/>
          <w:sz w:val="24"/>
          <w:szCs w:val="24"/>
        </w:rPr>
        <w:lastRenderedPageBreak/>
        <w:t>Audience Evaluation Options</w:t>
      </w:r>
      <w:r w:rsidR="00F82543" w:rsidRPr="00F82543">
        <w:rPr>
          <w:bCs w:val="0"/>
          <w:spacing w:val="-15"/>
          <w:sz w:val="24"/>
          <w:szCs w:val="24"/>
        </w:rPr>
        <w:t>:</w:t>
      </w:r>
    </w:p>
    <w:p w:rsidR="0090794C" w:rsidRPr="00F82543" w:rsidRDefault="0090794C" w:rsidP="0090794C">
      <w:pPr>
        <w:pStyle w:val="Heading3"/>
        <w:shd w:val="clear" w:color="auto" w:fill="FFFFFF"/>
        <w:spacing w:before="150" w:after="150" w:line="600" w:lineRule="atLeast"/>
        <w:jc w:val="both"/>
        <w:rPr>
          <w:rFonts w:ascii="Times New Roman" w:hAnsi="Times New Roman" w:cs="Times New Roman"/>
          <w:bCs w:val="0"/>
          <w:color w:val="auto"/>
          <w:spacing w:val="-15"/>
          <w:sz w:val="24"/>
          <w:szCs w:val="24"/>
        </w:rPr>
      </w:pPr>
      <w:r w:rsidRPr="00F82543">
        <w:rPr>
          <w:rFonts w:ascii="Times New Roman" w:hAnsi="Times New Roman" w:cs="Times New Roman"/>
          <w:bCs w:val="0"/>
          <w:color w:val="auto"/>
          <w:spacing w:val="-15"/>
          <w:sz w:val="24"/>
          <w:szCs w:val="24"/>
        </w:rPr>
        <w:t>By Time</w:t>
      </w:r>
    </w:p>
    <w:p w:rsidR="0090794C" w:rsidRPr="00F82543" w:rsidRDefault="0090794C" w:rsidP="0090794C">
      <w:pPr>
        <w:pStyle w:val="NormalWeb"/>
        <w:shd w:val="clear" w:color="auto" w:fill="FFFFFF"/>
        <w:spacing w:before="0" w:beforeAutospacing="0" w:after="150" w:afterAutospacing="0" w:line="330" w:lineRule="atLeast"/>
        <w:jc w:val="both"/>
      </w:pPr>
      <w:r w:rsidRPr="00F82543">
        <w:t>By default, if the evaluation takes place on the basis of time.</w:t>
      </w:r>
      <w:r w:rsidRPr="00F82543">
        <w:br/>
        <w:t>The following time –related measures are available:</w:t>
      </w:r>
    </w:p>
    <w:p w:rsidR="0090794C" w:rsidRPr="00F82543" w:rsidRDefault="0090794C" w:rsidP="0090794C">
      <w:pPr>
        <w:numPr>
          <w:ilvl w:val="0"/>
          <w:numId w:val="4"/>
        </w:numPr>
        <w:shd w:val="clear" w:color="auto" w:fill="FFFFFF"/>
        <w:spacing w:beforeAutospacing="1" w:after="75" w:line="300" w:lineRule="atLeast"/>
        <w:ind w:left="0"/>
        <w:jc w:val="both"/>
        <w:rPr>
          <w:rFonts w:ascii="Times New Roman" w:hAnsi="Times New Roman" w:cs="Times New Roman"/>
          <w:sz w:val="24"/>
          <w:szCs w:val="24"/>
        </w:rPr>
      </w:pPr>
      <w:r w:rsidRPr="00F82543">
        <w:rPr>
          <w:rStyle w:val="Strong"/>
          <w:rFonts w:ascii="Times New Roman" w:hAnsi="Times New Roman" w:cs="Times New Roman"/>
          <w:sz w:val="24"/>
          <w:szCs w:val="24"/>
        </w:rPr>
        <w:t>Market Share:</w:t>
      </w:r>
      <w:r w:rsidRPr="00F82543">
        <w:rPr>
          <w:rFonts w:ascii="Times New Roman" w:hAnsi="Times New Roman" w:cs="Times New Roman"/>
          <w:sz w:val="24"/>
          <w:szCs w:val="24"/>
        </w:rPr>
        <w:t> Share of a given time slot as measured against total TV consumption, based on households or persons</w:t>
      </w:r>
    </w:p>
    <w:p w:rsidR="0090794C" w:rsidRPr="00F82543" w:rsidRDefault="0090794C" w:rsidP="0090794C">
      <w:pPr>
        <w:numPr>
          <w:ilvl w:val="0"/>
          <w:numId w:val="4"/>
        </w:numPr>
        <w:shd w:val="clear" w:color="auto" w:fill="FFFFFF"/>
        <w:spacing w:beforeAutospacing="1" w:after="75" w:line="300" w:lineRule="atLeast"/>
        <w:ind w:left="0"/>
        <w:jc w:val="both"/>
        <w:rPr>
          <w:rFonts w:ascii="Times New Roman" w:hAnsi="Times New Roman" w:cs="Times New Roman"/>
          <w:sz w:val="24"/>
          <w:szCs w:val="24"/>
        </w:rPr>
      </w:pPr>
      <w:r w:rsidRPr="00F82543">
        <w:rPr>
          <w:rStyle w:val="Strong"/>
          <w:rFonts w:ascii="Times New Roman" w:hAnsi="Times New Roman" w:cs="Times New Roman"/>
          <w:sz w:val="24"/>
          <w:szCs w:val="24"/>
        </w:rPr>
        <w:t>Reach:</w:t>
      </w:r>
      <w:r w:rsidRPr="00F82543">
        <w:rPr>
          <w:rFonts w:ascii="Times New Roman" w:hAnsi="Times New Roman" w:cs="Times New Roman"/>
          <w:sz w:val="24"/>
          <w:szCs w:val="24"/>
        </w:rPr>
        <w:t> Share of households or persons who watch a given TV program for at least thirty seconds during a given period of time</w:t>
      </w:r>
    </w:p>
    <w:p w:rsidR="0090794C" w:rsidRPr="00F82543" w:rsidRDefault="0090794C" w:rsidP="0090794C">
      <w:pPr>
        <w:numPr>
          <w:ilvl w:val="0"/>
          <w:numId w:val="4"/>
        </w:numPr>
        <w:shd w:val="clear" w:color="auto" w:fill="FFFFFF"/>
        <w:spacing w:beforeAutospacing="1" w:after="75" w:line="300" w:lineRule="atLeast"/>
        <w:ind w:left="0"/>
        <w:jc w:val="both"/>
        <w:rPr>
          <w:rFonts w:ascii="Times New Roman" w:hAnsi="Times New Roman" w:cs="Times New Roman"/>
          <w:sz w:val="24"/>
          <w:szCs w:val="24"/>
        </w:rPr>
      </w:pPr>
      <w:r w:rsidRPr="00F82543">
        <w:rPr>
          <w:rFonts w:ascii="Times New Roman" w:hAnsi="Times New Roman" w:cs="Times New Roman"/>
          <w:sz w:val="24"/>
          <w:szCs w:val="24"/>
        </w:rPr>
        <w:t> </w:t>
      </w:r>
      <w:r w:rsidRPr="00F82543">
        <w:rPr>
          <w:rStyle w:val="Strong"/>
          <w:rFonts w:ascii="Times New Roman" w:hAnsi="Times New Roman" w:cs="Times New Roman"/>
          <w:sz w:val="24"/>
          <w:szCs w:val="24"/>
        </w:rPr>
        <w:t>Total consumption in Minutes:</w:t>
      </w:r>
      <w:r w:rsidRPr="00F82543">
        <w:rPr>
          <w:rFonts w:ascii="Times New Roman" w:hAnsi="Times New Roman" w:cs="Times New Roman"/>
          <w:sz w:val="24"/>
          <w:szCs w:val="24"/>
        </w:rPr>
        <w:t> Average consumption time of all households or persons during a given time slot for a specific or for all TV channel(s)</w:t>
      </w:r>
    </w:p>
    <w:p w:rsidR="0090794C" w:rsidRPr="00F82543" w:rsidRDefault="0090794C" w:rsidP="0090794C">
      <w:pPr>
        <w:numPr>
          <w:ilvl w:val="0"/>
          <w:numId w:val="4"/>
        </w:numPr>
        <w:shd w:val="clear" w:color="auto" w:fill="FFFFFF"/>
        <w:spacing w:beforeAutospacing="1" w:after="75" w:line="300" w:lineRule="atLeast"/>
        <w:ind w:left="0"/>
        <w:jc w:val="both"/>
        <w:rPr>
          <w:rFonts w:ascii="Times New Roman" w:hAnsi="Times New Roman" w:cs="Times New Roman"/>
          <w:sz w:val="24"/>
          <w:szCs w:val="24"/>
        </w:rPr>
      </w:pPr>
      <w:r w:rsidRPr="00F82543">
        <w:rPr>
          <w:rFonts w:ascii="Times New Roman" w:hAnsi="Times New Roman" w:cs="Times New Roman"/>
          <w:sz w:val="24"/>
          <w:szCs w:val="24"/>
        </w:rPr>
        <w:t> </w:t>
      </w:r>
      <w:r w:rsidRPr="00F82543">
        <w:rPr>
          <w:rStyle w:val="Strong"/>
          <w:rFonts w:ascii="Times New Roman" w:hAnsi="Times New Roman" w:cs="Times New Roman"/>
          <w:sz w:val="24"/>
          <w:szCs w:val="24"/>
        </w:rPr>
        <w:t>Consumption in Minutes per Viewer:</w:t>
      </w:r>
      <w:r w:rsidRPr="00F82543">
        <w:rPr>
          <w:rFonts w:ascii="Times New Roman" w:hAnsi="Times New Roman" w:cs="Times New Roman"/>
          <w:sz w:val="24"/>
          <w:szCs w:val="24"/>
        </w:rPr>
        <w:t> Average consumption time of the viewing audience that was actually watching TV at the time in question (not including the persons of a given households who were not watching TV)</w:t>
      </w:r>
    </w:p>
    <w:p w:rsidR="0090794C" w:rsidRPr="00F82543" w:rsidRDefault="0090794C" w:rsidP="0090794C">
      <w:pPr>
        <w:pStyle w:val="Heading3"/>
        <w:shd w:val="clear" w:color="auto" w:fill="FFFFFF"/>
        <w:spacing w:before="150" w:after="150" w:line="600" w:lineRule="atLeast"/>
        <w:jc w:val="both"/>
        <w:rPr>
          <w:rFonts w:ascii="Times New Roman" w:hAnsi="Times New Roman" w:cs="Times New Roman"/>
          <w:bCs w:val="0"/>
          <w:color w:val="auto"/>
          <w:spacing w:val="-15"/>
          <w:sz w:val="24"/>
          <w:szCs w:val="24"/>
        </w:rPr>
      </w:pPr>
      <w:bookmarkStart w:id="0" w:name="_GoBack"/>
      <w:r w:rsidRPr="00F82543">
        <w:rPr>
          <w:rFonts w:ascii="Times New Roman" w:hAnsi="Times New Roman" w:cs="Times New Roman"/>
          <w:bCs w:val="0"/>
          <w:color w:val="auto"/>
          <w:spacing w:val="-15"/>
          <w:sz w:val="24"/>
          <w:szCs w:val="24"/>
        </w:rPr>
        <w:t>By Program</w:t>
      </w:r>
    </w:p>
    <w:bookmarkEnd w:id="0"/>
    <w:p w:rsidR="0090794C" w:rsidRPr="00F82543" w:rsidRDefault="0090794C" w:rsidP="0090794C">
      <w:pPr>
        <w:pStyle w:val="NormalWeb"/>
        <w:shd w:val="clear" w:color="auto" w:fill="FFFFFF"/>
        <w:spacing w:before="0" w:beforeAutospacing="0" w:after="150" w:afterAutospacing="0" w:line="330" w:lineRule="atLeast"/>
        <w:jc w:val="both"/>
      </w:pPr>
      <w:r w:rsidRPr="00F82543">
        <w:t>In cases where evaluation is based on the viewed programs, the attention and rating given to all programs broadcast by a given channel so indicated. We are getting program logs on daily basis from Media Monitors, the leading Program/Ad Tracking firm in Pakistan.</w:t>
      </w:r>
      <w:r w:rsidRPr="00F82543">
        <w:br/>
        <w:t>The following program –related measures are available:</w:t>
      </w:r>
    </w:p>
    <w:p w:rsidR="0090794C" w:rsidRPr="00F82543" w:rsidRDefault="0090794C" w:rsidP="0090794C">
      <w:pPr>
        <w:numPr>
          <w:ilvl w:val="0"/>
          <w:numId w:val="5"/>
        </w:numPr>
        <w:shd w:val="clear" w:color="auto" w:fill="FFFFFF"/>
        <w:spacing w:beforeAutospacing="1" w:after="75" w:line="300" w:lineRule="atLeast"/>
        <w:ind w:left="0"/>
        <w:jc w:val="both"/>
        <w:rPr>
          <w:rFonts w:ascii="Times New Roman" w:hAnsi="Times New Roman" w:cs="Times New Roman"/>
          <w:sz w:val="24"/>
          <w:szCs w:val="24"/>
        </w:rPr>
      </w:pPr>
      <w:r w:rsidRPr="00F82543">
        <w:rPr>
          <w:rStyle w:val="Strong"/>
          <w:rFonts w:ascii="Times New Roman" w:hAnsi="Times New Roman" w:cs="Times New Roman"/>
          <w:sz w:val="24"/>
          <w:szCs w:val="24"/>
        </w:rPr>
        <w:t>Rating:</w:t>
      </w:r>
      <w:r w:rsidRPr="00F82543">
        <w:rPr>
          <w:rFonts w:ascii="Times New Roman" w:hAnsi="Times New Roman" w:cs="Times New Roman"/>
          <w:sz w:val="24"/>
          <w:szCs w:val="24"/>
        </w:rPr>
        <w:t> Average proportion of TV household or persons who watched a given program</w:t>
      </w:r>
    </w:p>
    <w:p w:rsidR="0090794C" w:rsidRPr="00F82543" w:rsidRDefault="0090794C" w:rsidP="0090794C">
      <w:pPr>
        <w:numPr>
          <w:ilvl w:val="0"/>
          <w:numId w:val="5"/>
        </w:numPr>
        <w:shd w:val="clear" w:color="auto" w:fill="FFFFFF"/>
        <w:spacing w:beforeAutospacing="1" w:after="75" w:line="300" w:lineRule="atLeast"/>
        <w:ind w:left="0"/>
        <w:jc w:val="both"/>
        <w:rPr>
          <w:rFonts w:ascii="Times New Roman" w:hAnsi="Times New Roman" w:cs="Times New Roman"/>
          <w:sz w:val="24"/>
          <w:szCs w:val="24"/>
        </w:rPr>
      </w:pPr>
      <w:r w:rsidRPr="00F82543">
        <w:rPr>
          <w:rStyle w:val="Strong"/>
          <w:rFonts w:ascii="Times New Roman" w:hAnsi="Times New Roman" w:cs="Times New Roman"/>
          <w:sz w:val="24"/>
          <w:szCs w:val="24"/>
        </w:rPr>
        <w:t>Market share:</w:t>
      </w:r>
      <w:r w:rsidRPr="00F82543">
        <w:rPr>
          <w:rFonts w:ascii="Times New Roman" w:hAnsi="Times New Roman" w:cs="Times New Roman"/>
          <w:sz w:val="24"/>
          <w:szCs w:val="24"/>
        </w:rPr>
        <w:t> Consumed proportion of a given program, measured against total TV consumption based on households or persons</w:t>
      </w:r>
    </w:p>
    <w:p w:rsidR="0090794C" w:rsidRPr="00F82543" w:rsidRDefault="0090794C" w:rsidP="0090794C">
      <w:pPr>
        <w:numPr>
          <w:ilvl w:val="0"/>
          <w:numId w:val="5"/>
        </w:numPr>
        <w:shd w:val="clear" w:color="auto" w:fill="FFFFFF"/>
        <w:spacing w:beforeAutospacing="1" w:after="75" w:line="300" w:lineRule="atLeast"/>
        <w:ind w:left="0"/>
        <w:jc w:val="both"/>
        <w:rPr>
          <w:rFonts w:ascii="Times New Roman" w:hAnsi="Times New Roman" w:cs="Times New Roman"/>
          <w:sz w:val="24"/>
          <w:szCs w:val="24"/>
        </w:rPr>
      </w:pPr>
      <w:r w:rsidRPr="00F82543">
        <w:rPr>
          <w:rStyle w:val="Strong"/>
          <w:rFonts w:ascii="Times New Roman" w:hAnsi="Times New Roman" w:cs="Times New Roman"/>
          <w:sz w:val="24"/>
          <w:szCs w:val="24"/>
        </w:rPr>
        <w:t>Average Age:</w:t>
      </w:r>
      <w:r w:rsidRPr="00F82543">
        <w:rPr>
          <w:rFonts w:ascii="Times New Roman" w:hAnsi="Times New Roman" w:cs="Times New Roman"/>
          <w:sz w:val="24"/>
          <w:szCs w:val="24"/>
        </w:rPr>
        <w:t> Average age of the viewers of a given program</w:t>
      </w:r>
    </w:p>
    <w:p w:rsidR="0090794C" w:rsidRPr="00F82543" w:rsidRDefault="0090794C" w:rsidP="0090794C">
      <w:pPr>
        <w:numPr>
          <w:ilvl w:val="0"/>
          <w:numId w:val="5"/>
        </w:numPr>
        <w:shd w:val="clear" w:color="auto" w:fill="FFFFFF"/>
        <w:spacing w:beforeAutospacing="1" w:after="75" w:line="300" w:lineRule="atLeast"/>
        <w:ind w:left="0"/>
        <w:jc w:val="both"/>
        <w:rPr>
          <w:rFonts w:ascii="Times New Roman" w:hAnsi="Times New Roman" w:cs="Times New Roman"/>
          <w:sz w:val="24"/>
          <w:szCs w:val="24"/>
        </w:rPr>
      </w:pPr>
      <w:r w:rsidRPr="00F82543">
        <w:rPr>
          <w:rStyle w:val="Strong"/>
          <w:rFonts w:ascii="Times New Roman" w:hAnsi="Times New Roman" w:cs="Times New Roman"/>
          <w:sz w:val="24"/>
          <w:szCs w:val="24"/>
        </w:rPr>
        <w:t>Usage:</w:t>
      </w:r>
      <w:r w:rsidRPr="00F82543">
        <w:rPr>
          <w:rFonts w:ascii="Times New Roman" w:hAnsi="Times New Roman" w:cs="Times New Roman"/>
          <w:sz w:val="24"/>
          <w:szCs w:val="24"/>
        </w:rPr>
        <w:t> Clients can select ratings on the basis of people who viewed the given program for at least a specific portion of time</w:t>
      </w:r>
    </w:p>
    <w:p w:rsidR="0090794C" w:rsidRPr="00F82543" w:rsidRDefault="0090794C" w:rsidP="0090794C">
      <w:pPr>
        <w:shd w:val="clear" w:color="auto" w:fill="FFFFFF"/>
        <w:spacing w:after="150" w:line="330" w:lineRule="atLeast"/>
        <w:jc w:val="both"/>
        <w:rPr>
          <w:rFonts w:ascii="Times New Roman" w:eastAsia="Times New Roman" w:hAnsi="Times New Roman" w:cs="Times New Roman"/>
          <w:sz w:val="24"/>
          <w:szCs w:val="24"/>
        </w:rPr>
      </w:pPr>
    </w:p>
    <w:p w:rsidR="00D64078" w:rsidRPr="00F82543" w:rsidRDefault="00D64078" w:rsidP="006E4197">
      <w:pPr>
        <w:jc w:val="both"/>
        <w:rPr>
          <w:rFonts w:ascii="Times New Roman" w:hAnsi="Times New Roman" w:cs="Times New Roman"/>
          <w:sz w:val="24"/>
          <w:szCs w:val="24"/>
        </w:rPr>
      </w:pPr>
    </w:p>
    <w:sectPr w:rsidR="00D64078" w:rsidRPr="00F8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E3B"/>
    <w:multiLevelType w:val="multilevel"/>
    <w:tmpl w:val="1FE8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85D0A"/>
    <w:multiLevelType w:val="multilevel"/>
    <w:tmpl w:val="39A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40753"/>
    <w:multiLevelType w:val="multilevel"/>
    <w:tmpl w:val="36C2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94BAE"/>
    <w:multiLevelType w:val="multilevel"/>
    <w:tmpl w:val="13B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64987"/>
    <w:multiLevelType w:val="multilevel"/>
    <w:tmpl w:val="111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B8"/>
    <w:rsid w:val="000D3CFA"/>
    <w:rsid w:val="00105A59"/>
    <w:rsid w:val="005F1081"/>
    <w:rsid w:val="006E4197"/>
    <w:rsid w:val="008E6627"/>
    <w:rsid w:val="0090794C"/>
    <w:rsid w:val="00B127B8"/>
    <w:rsid w:val="00D64078"/>
    <w:rsid w:val="00F82543"/>
    <w:rsid w:val="00FC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40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079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6407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D6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78"/>
    <w:rPr>
      <w:rFonts w:ascii="Tahoma" w:hAnsi="Tahoma" w:cs="Tahoma"/>
      <w:sz w:val="16"/>
      <w:szCs w:val="16"/>
    </w:rPr>
  </w:style>
  <w:style w:type="character" w:customStyle="1" w:styleId="Heading3Char">
    <w:name w:val="Heading 3 Char"/>
    <w:basedOn w:val="DefaultParagraphFont"/>
    <w:link w:val="Heading3"/>
    <w:uiPriority w:val="9"/>
    <w:semiHidden/>
    <w:rsid w:val="0090794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079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40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079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6407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D6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78"/>
    <w:rPr>
      <w:rFonts w:ascii="Tahoma" w:hAnsi="Tahoma" w:cs="Tahoma"/>
      <w:sz w:val="16"/>
      <w:szCs w:val="16"/>
    </w:rPr>
  </w:style>
  <w:style w:type="character" w:customStyle="1" w:styleId="Heading3Char">
    <w:name w:val="Heading 3 Char"/>
    <w:basedOn w:val="DefaultParagraphFont"/>
    <w:link w:val="Heading3"/>
    <w:uiPriority w:val="9"/>
    <w:semiHidden/>
    <w:rsid w:val="0090794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07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2572">
      <w:bodyDiv w:val="1"/>
      <w:marLeft w:val="0"/>
      <w:marRight w:val="0"/>
      <w:marTop w:val="0"/>
      <w:marBottom w:val="0"/>
      <w:divBdr>
        <w:top w:val="none" w:sz="0" w:space="0" w:color="auto"/>
        <w:left w:val="none" w:sz="0" w:space="0" w:color="auto"/>
        <w:bottom w:val="none" w:sz="0" w:space="0" w:color="auto"/>
        <w:right w:val="none" w:sz="0" w:space="0" w:color="auto"/>
      </w:divBdr>
    </w:div>
    <w:div w:id="547111522">
      <w:bodyDiv w:val="1"/>
      <w:marLeft w:val="0"/>
      <w:marRight w:val="0"/>
      <w:marTop w:val="0"/>
      <w:marBottom w:val="0"/>
      <w:divBdr>
        <w:top w:val="none" w:sz="0" w:space="0" w:color="auto"/>
        <w:left w:val="none" w:sz="0" w:space="0" w:color="auto"/>
        <w:bottom w:val="none" w:sz="0" w:space="0" w:color="auto"/>
        <w:right w:val="none" w:sz="0" w:space="0" w:color="auto"/>
      </w:divBdr>
    </w:div>
    <w:div w:id="1598128127">
      <w:bodyDiv w:val="1"/>
      <w:marLeft w:val="0"/>
      <w:marRight w:val="0"/>
      <w:marTop w:val="0"/>
      <w:marBottom w:val="0"/>
      <w:divBdr>
        <w:top w:val="none" w:sz="0" w:space="0" w:color="auto"/>
        <w:left w:val="none" w:sz="0" w:space="0" w:color="auto"/>
        <w:bottom w:val="none" w:sz="0" w:space="0" w:color="auto"/>
        <w:right w:val="none" w:sz="0" w:space="0" w:color="auto"/>
      </w:divBdr>
      <w:divsChild>
        <w:div w:id="791901566">
          <w:marLeft w:val="0"/>
          <w:marRight w:val="0"/>
          <w:marTop w:val="0"/>
          <w:marBottom w:val="0"/>
          <w:divBdr>
            <w:top w:val="none" w:sz="0" w:space="0" w:color="auto"/>
            <w:left w:val="none" w:sz="0" w:space="0" w:color="auto"/>
            <w:bottom w:val="none" w:sz="0" w:space="0" w:color="auto"/>
            <w:right w:val="none" w:sz="0" w:space="0" w:color="auto"/>
          </w:divBdr>
          <w:divsChild>
            <w:div w:id="759059598">
              <w:marLeft w:val="0"/>
              <w:marRight w:val="0"/>
              <w:marTop w:val="0"/>
              <w:marBottom w:val="0"/>
              <w:divBdr>
                <w:top w:val="none" w:sz="0" w:space="0" w:color="auto"/>
                <w:left w:val="none" w:sz="0" w:space="0" w:color="auto"/>
                <w:bottom w:val="none" w:sz="0" w:space="0" w:color="auto"/>
                <w:right w:val="none" w:sz="0" w:space="0" w:color="auto"/>
              </w:divBdr>
            </w:div>
            <w:div w:id="1627009732">
              <w:marLeft w:val="296"/>
              <w:marRight w:val="0"/>
              <w:marTop w:val="0"/>
              <w:marBottom w:val="0"/>
              <w:divBdr>
                <w:top w:val="none" w:sz="0" w:space="0" w:color="auto"/>
                <w:left w:val="none" w:sz="0" w:space="0" w:color="auto"/>
                <w:bottom w:val="none" w:sz="0" w:space="0" w:color="auto"/>
                <w:right w:val="none" w:sz="0" w:space="0" w:color="auto"/>
              </w:divBdr>
            </w:div>
          </w:divsChild>
        </w:div>
        <w:div w:id="152825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9</cp:revision>
  <dcterms:created xsi:type="dcterms:W3CDTF">2020-05-03T20:28:00Z</dcterms:created>
  <dcterms:modified xsi:type="dcterms:W3CDTF">2020-05-03T20:42:00Z</dcterms:modified>
</cp:coreProperties>
</file>