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C66" w:rsidRDefault="00FC4C66" w:rsidP="00FC4C66">
      <w:pPr>
        <w:spacing w:before="180" w:after="180" w:line="300" w:lineRule="atLeast"/>
        <w:jc w:val="both"/>
        <w:rPr>
          <w:rFonts w:ascii="STIXGeneral-Regular" w:eastAsia="Times New Roman" w:hAnsi="STIXGeneral-Regular" w:cs="Times New Roman"/>
          <w:b/>
          <w:color w:val="000000"/>
          <w:sz w:val="24"/>
          <w:szCs w:val="24"/>
        </w:rPr>
      </w:pPr>
      <w:bookmarkStart w:id="0" w:name="_GoBack"/>
      <w:r>
        <w:rPr>
          <w:rFonts w:ascii="STIXGeneral-Regular" w:eastAsia="Times New Roman" w:hAnsi="STIXGeneral-Regular" w:cs="Times New Roman"/>
          <w:b/>
          <w:color w:val="000000"/>
          <w:sz w:val="24"/>
          <w:szCs w:val="24"/>
        </w:rPr>
        <w:t xml:space="preserve">WATER GAS SHIFT REACTION </w:t>
      </w:r>
      <w:bookmarkEnd w:id="0"/>
    </w:p>
    <w:p w:rsidR="00FC4C66" w:rsidRPr="00FC4C66" w:rsidRDefault="00FC4C66" w:rsidP="00FC4C66">
      <w:pPr>
        <w:spacing w:before="180" w:after="180" w:line="300" w:lineRule="atLeast"/>
        <w:jc w:val="both"/>
        <w:rPr>
          <w:rFonts w:ascii="STIXGeneral-Regular" w:eastAsia="Times New Roman" w:hAnsi="STIXGeneral-Regular" w:cs="Times New Roman"/>
          <w:color w:val="000000"/>
          <w:sz w:val="24"/>
          <w:szCs w:val="24"/>
        </w:rPr>
      </w:pPr>
      <w:r w:rsidRPr="00FC4C66">
        <w:rPr>
          <w:rFonts w:ascii="STIXGeneral-Regular" w:eastAsia="Times New Roman" w:hAnsi="STIXGeneral-Regular" w:cs="Times New Roman"/>
          <w:color w:val="000000"/>
          <w:sz w:val="24"/>
          <w:szCs w:val="24"/>
        </w:rPr>
        <w:t>Carbon oxide reacts with water and produces, via the reversible and exothermic reaction</w:t>
      </w:r>
      <w:proofErr w:type="gramStart"/>
      <w:r w:rsidRPr="00FC4C66">
        <w:rPr>
          <w:rFonts w:ascii="STIXGeneral-Regular" w:eastAsia="Times New Roman" w:hAnsi="STIXGeneral-Regular" w:cs="Times New Roman"/>
          <w:color w:val="000000"/>
          <w:sz w:val="24"/>
          <w:szCs w:val="24"/>
        </w:rPr>
        <w:t>: ,</w:t>
      </w:r>
      <w:proofErr w:type="gramEnd"/>
      <w:r w:rsidRPr="00FC4C66">
        <w:rPr>
          <w:rFonts w:ascii="STIXGeneral-Regular" w:eastAsia="Times New Roman" w:hAnsi="STIXGeneral-Regular" w:cs="Times New Roman"/>
          <w:color w:val="000000"/>
          <w:sz w:val="24"/>
          <w:szCs w:val="24"/>
        </w:rPr>
        <w:t xml:space="preserve"> carbon dioxide with pure hydrogen. In recent years, this reaction has received considerable interest due to the possibility to reduce a large amount of carbon monoxide from reformed fuels (CO + H</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 xml:space="preserve">) into additional hydrogen production. This reaction is catalyzed with a large variety of metals and metal oxides like Fe [1–3], Cu [2, 4], Au [2, 5, 6], </w:t>
      </w:r>
      <w:proofErr w:type="spellStart"/>
      <w:r w:rsidRPr="00FC4C66">
        <w:rPr>
          <w:rFonts w:ascii="STIXGeneral-Regular" w:eastAsia="Times New Roman" w:hAnsi="STIXGeneral-Regular" w:cs="Times New Roman"/>
          <w:color w:val="000000"/>
          <w:sz w:val="24"/>
          <w:szCs w:val="24"/>
        </w:rPr>
        <w:t>Ru</w:t>
      </w:r>
      <w:proofErr w:type="spellEnd"/>
      <w:r w:rsidRPr="00FC4C66">
        <w:rPr>
          <w:rFonts w:ascii="STIXGeneral-Regular" w:eastAsia="Times New Roman" w:hAnsi="STIXGeneral-Regular" w:cs="Times New Roman"/>
          <w:color w:val="000000"/>
          <w:sz w:val="24"/>
          <w:szCs w:val="24"/>
        </w:rPr>
        <w:t xml:space="preserve"> [2, 7], and </w:t>
      </w:r>
      <w:proofErr w:type="spellStart"/>
      <w:r w:rsidRPr="00FC4C66">
        <w:rPr>
          <w:rFonts w:ascii="STIXGeneral-Regular" w:eastAsia="Times New Roman" w:hAnsi="STIXGeneral-Regular" w:cs="Times New Roman"/>
          <w:color w:val="000000"/>
          <w:sz w:val="24"/>
          <w:szCs w:val="24"/>
        </w:rPr>
        <w:t>Pt</w:t>
      </w:r>
      <w:proofErr w:type="spellEnd"/>
      <w:r w:rsidRPr="00FC4C66">
        <w:rPr>
          <w:rFonts w:ascii="STIXGeneral-Regular" w:eastAsia="Times New Roman" w:hAnsi="STIXGeneral-Regular" w:cs="Times New Roman"/>
          <w:color w:val="000000"/>
          <w:sz w:val="24"/>
          <w:szCs w:val="24"/>
        </w:rPr>
        <w:t xml:space="preserve"> [8, 9] and is often performed in two steps to achieve rates for commercial purposes. At lower temperature (150–250°C) the catalyst of choice is based on copper Cu-</w:t>
      </w:r>
      <w:proofErr w:type="spellStart"/>
      <w:r w:rsidRPr="00FC4C66">
        <w:rPr>
          <w:rFonts w:ascii="STIXGeneral-Regular" w:eastAsia="Times New Roman" w:hAnsi="STIXGeneral-Regular" w:cs="Times New Roman"/>
          <w:color w:val="000000"/>
          <w:sz w:val="24"/>
          <w:szCs w:val="24"/>
        </w:rPr>
        <w:t>ZnO</w:t>
      </w:r>
      <w:proofErr w:type="spellEnd"/>
      <w:r w:rsidRPr="00FC4C66">
        <w:rPr>
          <w:rFonts w:ascii="STIXGeneral-Regular" w:eastAsia="Times New Roman" w:hAnsi="STIXGeneral-Regular" w:cs="Times New Roman"/>
          <w:color w:val="000000"/>
          <w:sz w:val="24"/>
          <w:szCs w:val="24"/>
        </w:rPr>
        <w:t>. The iron oxide-based catalysts, Fe</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O</w:t>
      </w:r>
      <w:r w:rsidRPr="00FC4C66">
        <w:rPr>
          <w:rFonts w:ascii="STIXGeneral-Regular" w:eastAsia="Times New Roman" w:hAnsi="STIXGeneral-Regular" w:cs="Times New Roman"/>
          <w:color w:val="000000"/>
          <w:sz w:val="24"/>
          <w:szCs w:val="24"/>
          <w:vertAlign w:val="subscript"/>
        </w:rPr>
        <w:t>3</w:t>
      </w:r>
      <w:r w:rsidRPr="00FC4C66">
        <w:rPr>
          <w:rFonts w:ascii="STIXGeneral-Regular" w:eastAsia="Times New Roman" w:hAnsi="STIXGeneral-Regular" w:cs="Times New Roman"/>
          <w:color w:val="000000"/>
          <w:sz w:val="24"/>
          <w:szCs w:val="24"/>
        </w:rPr>
        <w:t>, are well known in high temperature water-gas shift reaction (350–450°C) and are generally doped with chromium oxide, Cr</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O</w:t>
      </w:r>
      <w:r w:rsidRPr="00FC4C66">
        <w:rPr>
          <w:rFonts w:ascii="STIXGeneral-Regular" w:eastAsia="Times New Roman" w:hAnsi="STIXGeneral-Regular" w:cs="Times New Roman"/>
          <w:color w:val="000000"/>
          <w:sz w:val="24"/>
          <w:szCs w:val="24"/>
          <w:vertAlign w:val="subscript"/>
        </w:rPr>
        <w:t>3</w:t>
      </w:r>
      <w:r w:rsidRPr="00FC4C66">
        <w:rPr>
          <w:rFonts w:ascii="STIXGeneral-Regular" w:eastAsia="Times New Roman" w:hAnsi="STIXGeneral-Regular" w:cs="Times New Roman"/>
          <w:color w:val="000000"/>
          <w:sz w:val="24"/>
          <w:szCs w:val="24"/>
        </w:rPr>
        <w:t xml:space="preserve">, which prevents the sintering of iron oxide crystallites. Before the high temperature shift catalysts can be used, hematite must be converted to magnetite which is believed to be the active phase. This reduction is carried out with process gas mixtures of hydrogen, nitrogen, carbon oxide, carbon dioxide, and water </w:t>
      </w:r>
      <w:proofErr w:type="spellStart"/>
      <w:r w:rsidRPr="00FC4C66">
        <w:rPr>
          <w:rFonts w:ascii="STIXGeneral-Regular" w:eastAsia="Times New Roman" w:hAnsi="STIXGeneral-Regular" w:cs="Times New Roman"/>
          <w:color w:val="000000"/>
          <w:sz w:val="24"/>
          <w:szCs w:val="24"/>
        </w:rPr>
        <w:t>vapour</w:t>
      </w:r>
      <w:proofErr w:type="spellEnd"/>
      <w:r w:rsidRPr="00FC4C66">
        <w:rPr>
          <w:rFonts w:ascii="STIXGeneral-Regular" w:eastAsia="Times New Roman" w:hAnsi="STIXGeneral-Regular" w:cs="Times New Roman"/>
          <w:color w:val="000000"/>
          <w:sz w:val="24"/>
          <w:szCs w:val="24"/>
        </w:rPr>
        <w:t xml:space="preserve"> and is controlled to avoid further reduction of magnetite active material to lower oxides or to metallic iron species. Metallic iron is an active catalyst for the </w:t>
      </w:r>
      <w:proofErr w:type="spellStart"/>
      <w:r w:rsidRPr="00FC4C66">
        <w:rPr>
          <w:rFonts w:ascii="STIXGeneral-Regular" w:eastAsia="Times New Roman" w:hAnsi="STIXGeneral-Regular" w:cs="Times New Roman"/>
          <w:color w:val="000000"/>
          <w:sz w:val="24"/>
          <w:szCs w:val="24"/>
        </w:rPr>
        <w:t>methanation</w:t>
      </w:r>
      <w:proofErr w:type="spellEnd"/>
      <w:r w:rsidRPr="00FC4C66">
        <w:rPr>
          <w:rFonts w:ascii="STIXGeneral-Regular" w:eastAsia="Times New Roman" w:hAnsi="STIXGeneral-Regular" w:cs="Times New Roman"/>
          <w:color w:val="000000"/>
          <w:sz w:val="24"/>
          <w:szCs w:val="24"/>
        </w:rPr>
        <w:t xml:space="preserve"> of CO and the Fischer-</w:t>
      </w:r>
      <w:proofErr w:type="spellStart"/>
      <w:r w:rsidRPr="00FC4C66">
        <w:rPr>
          <w:rFonts w:ascii="STIXGeneral-Regular" w:eastAsia="Times New Roman" w:hAnsi="STIXGeneral-Regular" w:cs="Times New Roman"/>
          <w:color w:val="000000"/>
          <w:sz w:val="24"/>
          <w:szCs w:val="24"/>
        </w:rPr>
        <w:t>Tropsch</w:t>
      </w:r>
      <w:proofErr w:type="spellEnd"/>
      <w:r w:rsidRPr="00FC4C66">
        <w:rPr>
          <w:rFonts w:ascii="STIXGeneral-Regular" w:eastAsia="Times New Roman" w:hAnsi="STIXGeneral-Regular" w:cs="Times New Roman"/>
          <w:color w:val="000000"/>
          <w:sz w:val="24"/>
          <w:szCs w:val="24"/>
        </w:rPr>
        <w:t xml:space="preserve"> processes, which is undesirable here, since all generated hydrogen is consumed. To solve this problem, it is suitable to develop iron oxide stable catalysts that would be more difficult to reduce to metallic iron.</w:t>
      </w:r>
    </w:p>
    <w:p w:rsidR="00FC4C66" w:rsidRPr="00FC4C66" w:rsidRDefault="00FC4C66" w:rsidP="00FC4C66">
      <w:pPr>
        <w:spacing w:before="180" w:after="180" w:line="300" w:lineRule="atLeast"/>
        <w:jc w:val="both"/>
        <w:rPr>
          <w:rFonts w:ascii="STIXGeneral-Regular" w:eastAsia="Times New Roman" w:hAnsi="STIXGeneral-Regular" w:cs="Times New Roman"/>
          <w:color w:val="000000"/>
          <w:sz w:val="24"/>
          <w:szCs w:val="24"/>
        </w:rPr>
      </w:pPr>
      <w:proofErr w:type="spellStart"/>
      <w:r w:rsidRPr="00FC4C66">
        <w:rPr>
          <w:rFonts w:ascii="STIXGeneral-Regular" w:eastAsia="Times New Roman" w:hAnsi="STIXGeneral-Regular" w:cs="Times New Roman"/>
          <w:color w:val="000000"/>
          <w:sz w:val="24"/>
          <w:szCs w:val="24"/>
        </w:rPr>
        <w:t>Júnior</w:t>
      </w:r>
      <w:proofErr w:type="spellEnd"/>
      <w:r w:rsidRPr="00FC4C66">
        <w:rPr>
          <w:rFonts w:ascii="STIXGeneral-Regular" w:eastAsia="Times New Roman" w:hAnsi="STIXGeneral-Regular" w:cs="Times New Roman"/>
          <w:color w:val="000000"/>
          <w:sz w:val="24"/>
          <w:szCs w:val="24"/>
        </w:rPr>
        <w:t xml:space="preserve"> et al. [10] have indicated that the substitution of chromium by vanadium, in the iron oxide based water-gas shift reaction, produced directly the sought active phase. In a recent study, </w:t>
      </w:r>
      <w:proofErr w:type="spellStart"/>
      <w:r w:rsidRPr="00FC4C66">
        <w:rPr>
          <w:rFonts w:ascii="STIXGeneral-Regular" w:eastAsia="Times New Roman" w:hAnsi="STIXGeneral-Regular" w:cs="Times New Roman"/>
          <w:color w:val="000000"/>
          <w:sz w:val="24"/>
          <w:szCs w:val="24"/>
        </w:rPr>
        <w:t>Martos</w:t>
      </w:r>
      <w:proofErr w:type="spellEnd"/>
      <w:r w:rsidRPr="00FC4C66">
        <w:rPr>
          <w:rFonts w:ascii="STIXGeneral-Regular" w:eastAsia="Times New Roman" w:hAnsi="STIXGeneral-Regular" w:cs="Times New Roman"/>
          <w:color w:val="000000"/>
          <w:sz w:val="24"/>
          <w:szCs w:val="24"/>
        </w:rPr>
        <w:t xml:space="preserve"> and his coworkers [11] have replaced chromium by molybdenum in magnetite-based catalysts, by using the oxidation-precipitation and wet impregnation methods preparation and concluded that molybdenum increases thermal stability of the magnetite active phase and prevents metallic iron formation during the reaction. The oxidation-precipitation method allows obtaining the material directly in the active phase and molybdenum is incorporated into magnetite lattice. </w:t>
      </w:r>
      <w:proofErr w:type="spellStart"/>
      <w:r w:rsidRPr="00FC4C66">
        <w:rPr>
          <w:rFonts w:ascii="STIXGeneral-Regular" w:eastAsia="Times New Roman" w:hAnsi="STIXGeneral-Regular" w:cs="Times New Roman"/>
          <w:color w:val="000000"/>
          <w:sz w:val="24"/>
          <w:szCs w:val="24"/>
        </w:rPr>
        <w:t>Boudjemaa</w:t>
      </w:r>
      <w:proofErr w:type="spellEnd"/>
      <w:r w:rsidRPr="00FC4C66">
        <w:rPr>
          <w:rFonts w:ascii="STIXGeneral-Regular" w:eastAsia="Times New Roman" w:hAnsi="STIXGeneral-Regular" w:cs="Times New Roman"/>
          <w:color w:val="000000"/>
          <w:sz w:val="24"/>
          <w:szCs w:val="24"/>
        </w:rPr>
        <w:t xml:space="preserve"> et al. [3] have reported that magnesium could be a good candidate to replace chromium in iron-based catalysts since Mg-rich catalysts are more active than Cr-promoted ones. By adding </w:t>
      </w:r>
      <w:proofErr w:type="spellStart"/>
      <w:r w:rsidRPr="00FC4C66">
        <w:rPr>
          <w:rFonts w:ascii="STIXGeneral-Regular" w:eastAsia="Times New Roman" w:hAnsi="STIXGeneral-Regular" w:cs="Times New Roman"/>
          <w:color w:val="000000"/>
          <w:sz w:val="24"/>
          <w:szCs w:val="24"/>
        </w:rPr>
        <w:t>MgO</w:t>
      </w:r>
      <w:proofErr w:type="spellEnd"/>
      <w:r w:rsidRPr="00FC4C66">
        <w:rPr>
          <w:rFonts w:ascii="STIXGeneral-Regular" w:eastAsia="Times New Roman" w:hAnsi="STIXGeneral-Regular" w:cs="Times New Roman"/>
          <w:color w:val="000000"/>
          <w:sz w:val="24"/>
          <w:szCs w:val="24"/>
        </w:rPr>
        <w:t xml:space="preserve"> to Fe</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O</w:t>
      </w:r>
      <w:r w:rsidRPr="00FC4C66">
        <w:rPr>
          <w:rFonts w:ascii="STIXGeneral-Regular" w:eastAsia="Times New Roman" w:hAnsi="STIXGeneral-Regular" w:cs="Times New Roman"/>
          <w:color w:val="000000"/>
          <w:sz w:val="24"/>
          <w:szCs w:val="24"/>
          <w:vertAlign w:val="subscript"/>
        </w:rPr>
        <w:t>3</w:t>
      </w:r>
      <w:r w:rsidRPr="00FC4C66">
        <w:rPr>
          <w:rFonts w:ascii="STIXGeneral-Regular" w:eastAsia="Times New Roman" w:hAnsi="STIXGeneral-Regular" w:cs="Times New Roman"/>
          <w:color w:val="000000"/>
          <w:sz w:val="24"/>
          <w:szCs w:val="24"/>
        </w:rPr>
        <w:t> [12], it was found that the Fe</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O</w:t>
      </w:r>
      <w:r w:rsidRPr="00FC4C66">
        <w:rPr>
          <w:rFonts w:ascii="STIXGeneral-Regular" w:eastAsia="Times New Roman" w:hAnsi="STIXGeneral-Regular" w:cs="Times New Roman"/>
          <w:color w:val="000000"/>
          <w:sz w:val="24"/>
          <w:szCs w:val="24"/>
          <w:vertAlign w:val="subscript"/>
        </w:rPr>
        <w:t>3</w:t>
      </w:r>
      <w:r w:rsidRPr="00FC4C66">
        <w:rPr>
          <w:rFonts w:ascii="STIXGeneral-Regular" w:eastAsia="Times New Roman" w:hAnsi="STIXGeneral-Regular" w:cs="Times New Roman"/>
          <w:color w:val="000000"/>
          <w:sz w:val="24"/>
          <w:szCs w:val="24"/>
        </w:rPr>
        <w:t>-MgO basic catalyst is 100 times more active than the acidic catalyst Fe</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O</w:t>
      </w:r>
      <w:r w:rsidRPr="00FC4C66">
        <w:rPr>
          <w:rFonts w:ascii="STIXGeneral-Regular" w:eastAsia="Times New Roman" w:hAnsi="STIXGeneral-Regular" w:cs="Times New Roman"/>
          <w:color w:val="000000"/>
          <w:sz w:val="24"/>
          <w:szCs w:val="24"/>
          <w:vertAlign w:val="subscript"/>
        </w:rPr>
        <w:t>3</w:t>
      </w:r>
      <w:r w:rsidRPr="00FC4C66">
        <w:rPr>
          <w:rFonts w:ascii="STIXGeneral-Regular" w:eastAsia="Times New Roman" w:hAnsi="STIXGeneral-Regular" w:cs="Times New Roman"/>
          <w:color w:val="000000"/>
          <w:sz w:val="24"/>
          <w:szCs w:val="24"/>
        </w:rPr>
        <w:t>/SiO</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 and a direct relation between catalytic activity and acid-base properties of catalysts is established.</w:t>
      </w:r>
    </w:p>
    <w:p w:rsidR="00FC4C66" w:rsidRPr="00FC4C66" w:rsidRDefault="00FC4C66" w:rsidP="00FC4C66">
      <w:pPr>
        <w:spacing w:after="0" w:line="300" w:lineRule="atLeast"/>
        <w:jc w:val="both"/>
        <w:rPr>
          <w:rFonts w:ascii="STIXGeneral-Regular" w:eastAsia="Times New Roman" w:hAnsi="STIXGeneral-Regular" w:cs="Times New Roman"/>
          <w:color w:val="000000"/>
          <w:sz w:val="24"/>
          <w:szCs w:val="24"/>
        </w:rPr>
      </w:pPr>
      <w:r w:rsidRPr="00FC4C66">
        <w:rPr>
          <w:rFonts w:ascii="STIXGeneral-Regular" w:eastAsia="Times New Roman" w:hAnsi="STIXGeneral-Regular" w:cs="Times New Roman"/>
          <w:color w:val="000000"/>
          <w:sz w:val="24"/>
          <w:szCs w:val="24"/>
        </w:rPr>
        <w:t>The catalytic conversion of carbon oxide and water to carbon dioxide and hydrogen via the water-gas shift reaction is established to take place principally through two main types of mechanisms, the regenerative mechanism or the associative mechanism. In the first mechanism the catalyst surface is successively oxidized by H</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O and reduced by CO [13]:</w:t>
      </w:r>
    </w:p>
    <w:p w:rsidR="00FC4C66" w:rsidRPr="00FC4C66" w:rsidRDefault="00FC4C66" w:rsidP="00FC4C66">
      <w:pPr>
        <w:spacing w:after="0" w:line="300" w:lineRule="atLeast"/>
        <w:jc w:val="both"/>
        <w:rPr>
          <w:rFonts w:ascii="STIXGeneral-Regular" w:eastAsia="Times New Roman" w:hAnsi="STIXGeneral-Regular" w:cs="Times New Roman"/>
          <w:color w:val="000000"/>
          <w:sz w:val="24"/>
          <w:szCs w:val="24"/>
        </w:rPr>
      </w:pPr>
      <w:r w:rsidRPr="00FC4C66">
        <w:rPr>
          <w:rFonts w:ascii="STIXGeneral-Regular" w:eastAsia="Times New Roman" w:hAnsi="STIXGeneral-Regular" w:cs="Times New Roman"/>
          <w:color w:val="000000"/>
          <w:sz w:val="24"/>
          <w:szCs w:val="24"/>
        </w:rPr>
        <w:t>In turn, the associative mechanism supposes that the reactants CO and H</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 xml:space="preserve">O interact to form a reaction intermediate, such as an adsorbed </w:t>
      </w:r>
      <w:proofErr w:type="spellStart"/>
      <w:r w:rsidRPr="00FC4C66">
        <w:rPr>
          <w:rFonts w:ascii="STIXGeneral-Regular" w:eastAsia="Times New Roman" w:hAnsi="STIXGeneral-Regular" w:cs="Times New Roman"/>
          <w:color w:val="000000"/>
          <w:sz w:val="24"/>
          <w:szCs w:val="24"/>
        </w:rPr>
        <w:t>formate</w:t>
      </w:r>
      <w:proofErr w:type="spellEnd"/>
      <w:r w:rsidRPr="00FC4C66">
        <w:rPr>
          <w:rFonts w:ascii="STIXGeneral-Regular" w:eastAsia="Times New Roman" w:hAnsi="STIXGeneral-Regular" w:cs="Times New Roman"/>
          <w:color w:val="000000"/>
          <w:sz w:val="24"/>
          <w:szCs w:val="24"/>
        </w:rPr>
        <w:t xml:space="preserve"> </w:t>
      </w:r>
      <w:proofErr w:type="spellStart"/>
      <w:r w:rsidRPr="00FC4C66">
        <w:rPr>
          <w:rFonts w:ascii="STIXGeneral-Regular" w:eastAsia="Times New Roman" w:hAnsi="STIXGeneral-Regular" w:cs="Times New Roman"/>
          <w:color w:val="000000"/>
          <w:sz w:val="24"/>
          <w:szCs w:val="24"/>
        </w:rPr>
        <w:t>adspecies</w:t>
      </w:r>
      <w:proofErr w:type="spellEnd"/>
      <w:r w:rsidRPr="00FC4C66">
        <w:rPr>
          <w:rFonts w:ascii="STIXGeneral-Regular" w:eastAsia="Times New Roman" w:hAnsi="STIXGeneral-Regular" w:cs="Times New Roman"/>
          <w:color w:val="000000"/>
          <w:sz w:val="24"/>
          <w:szCs w:val="24"/>
        </w:rPr>
        <w:t>, which then decomposes to CO</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 and H</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w:t>
      </w:r>
    </w:p>
    <w:p w:rsidR="00FC4C66" w:rsidRPr="00FC4C66" w:rsidRDefault="00FC4C66" w:rsidP="00FC4C66">
      <w:pPr>
        <w:spacing w:after="0" w:line="300" w:lineRule="atLeast"/>
        <w:jc w:val="both"/>
        <w:rPr>
          <w:rFonts w:ascii="STIXGeneral-Regular" w:eastAsia="Times New Roman" w:hAnsi="STIXGeneral-Regular" w:cs="Times New Roman"/>
          <w:color w:val="000000"/>
          <w:sz w:val="24"/>
          <w:szCs w:val="24"/>
        </w:rPr>
      </w:pPr>
      <w:r w:rsidRPr="00FC4C66">
        <w:rPr>
          <w:rFonts w:ascii="STIXGeneral-Regular" w:eastAsia="Times New Roman" w:hAnsi="STIXGeneral-Regular" w:cs="Times New Roman"/>
          <w:color w:val="000000"/>
          <w:sz w:val="24"/>
          <w:szCs w:val="24"/>
        </w:rPr>
        <w:t xml:space="preserve">It was proposed in several researches that the formic acid species can be used as an intermediate to represent the </w:t>
      </w:r>
      <w:proofErr w:type="spellStart"/>
      <w:r w:rsidRPr="00FC4C66">
        <w:rPr>
          <w:rFonts w:ascii="STIXGeneral-Regular" w:eastAsia="Times New Roman" w:hAnsi="STIXGeneral-Regular" w:cs="Times New Roman"/>
          <w:color w:val="000000"/>
          <w:sz w:val="24"/>
          <w:szCs w:val="24"/>
        </w:rPr>
        <w:t>formate</w:t>
      </w:r>
      <w:proofErr w:type="spellEnd"/>
      <w:r w:rsidRPr="00FC4C66">
        <w:rPr>
          <w:rFonts w:ascii="STIXGeneral-Regular" w:eastAsia="Times New Roman" w:hAnsi="STIXGeneral-Regular" w:cs="Times New Roman"/>
          <w:color w:val="000000"/>
          <w:sz w:val="24"/>
          <w:szCs w:val="24"/>
        </w:rPr>
        <w:t xml:space="preserve"> group produced from the reaction between carbon oxide and water in the WGS reaction [2, 9, </w:t>
      </w:r>
      <w:proofErr w:type="gramStart"/>
      <w:r w:rsidRPr="00FC4C66">
        <w:rPr>
          <w:rFonts w:ascii="STIXGeneral-Regular" w:eastAsia="Times New Roman" w:hAnsi="STIXGeneral-Regular" w:cs="Times New Roman"/>
          <w:color w:val="000000"/>
          <w:sz w:val="24"/>
          <w:szCs w:val="24"/>
        </w:rPr>
        <w:t>13</w:t>
      </w:r>
      <w:proofErr w:type="gramEnd"/>
      <w:r w:rsidRPr="00FC4C66">
        <w:rPr>
          <w:rFonts w:ascii="STIXGeneral-Regular" w:eastAsia="Times New Roman" w:hAnsi="STIXGeneral-Regular" w:cs="Times New Roman"/>
          <w:color w:val="000000"/>
          <w:sz w:val="24"/>
          <w:szCs w:val="24"/>
        </w:rPr>
        <w:t>] on the following dehydrogenation process:</w:t>
      </w:r>
    </w:p>
    <w:p w:rsidR="00FC4C66" w:rsidRPr="00FC4C66" w:rsidRDefault="00FC4C66" w:rsidP="00FC4C66">
      <w:pPr>
        <w:spacing w:before="180" w:after="180" w:line="300" w:lineRule="atLeast"/>
        <w:jc w:val="both"/>
        <w:rPr>
          <w:rFonts w:ascii="STIXGeneral-Regular" w:eastAsia="Times New Roman" w:hAnsi="STIXGeneral-Regular" w:cs="Times New Roman"/>
          <w:color w:val="000000"/>
          <w:sz w:val="24"/>
          <w:szCs w:val="24"/>
        </w:rPr>
      </w:pPr>
      <w:r w:rsidRPr="00FC4C66">
        <w:rPr>
          <w:rFonts w:ascii="STIXGeneral-Regular" w:eastAsia="Times New Roman" w:hAnsi="STIXGeneral-Regular" w:cs="Times New Roman"/>
          <w:color w:val="000000"/>
          <w:sz w:val="24"/>
          <w:szCs w:val="24"/>
        </w:rPr>
        <w:lastRenderedPageBreak/>
        <w:t>The decomposition of formic acid (reaction (</w:t>
      </w:r>
      <w:hyperlink r:id="rId4" w:anchor="EEq4" w:history="1">
        <w:r w:rsidRPr="00FC4C66">
          <w:rPr>
            <w:rFonts w:ascii="STIXGeneral-Regular" w:eastAsia="Times New Roman" w:hAnsi="STIXGeneral-Regular" w:cs="Times New Roman"/>
            <w:color w:val="4D8A17"/>
            <w:sz w:val="24"/>
            <w:szCs w:val="24"/>
            <w:u w:val="single"/>
          </w:rPr>
          <w:t>3</w:t>
        </w:r>
      </w:hyperlink>
      <w:r w:rsidRPr="00FC4C66">
        <w:rPr>
          <w:rFonts w:ascii="STIXGeneral-Regular" w:eastAsia="Times New Roman" w:hAnsi="STIXGeneral-Regular" w:cs="Times New Roman"/>
          <w:color w:val="000000"/>
          <w:sz w:val="24"/>
          <w:szCs w:val="24"/>
        </w:rPr>
        <w:t>)) to the products of WGS reaction is catalyzed by metals and basic metal oxides.</w:t>
      </w:r>
    </w:p>
    <w:p w:rsidR="00FC4C66" w:rsidRPr="00FC4C66" w:rsidRDefault="00FC4C66" w:rsidP="00FC4C66">
      <w:pPr>
        <w:spacing w:before="180" w:after="180" w:line="300" w:lineRule="atLeast"/>
        <w:jc w:val="both"/>
        <w:rPr>
          <w:rFonts w:ascii="STIXGeneral-Regular" w:eastAsia="Times New Roman" w:hAnsi="STIXGeneral-Regular" w:cs="Times New Roman"/>
          <w:color w:val="000000"/>
          <w:sz w:val="24"/>
          <w:szCs w:val="24"/>
        </w:rPr>
      </w:pPr>
      <w:r w:rsidRPr="00FC4C66">
        <w:rPr>
          <w:rFonts w:ascii="STIXGeneral-Regular" w:eastAsia="Times New Roman" w:hAnsi="STIXGeneral-Regular" w:cs="Times New Roman"/>
          <w:color w:val="000000"/>
          <w:sz w:val="24"/>
          <w:szCs w:val="24"/>
        </w:rPr>
        <w:t>In this work, we present the results of the effect of acid-base properties created by the support addition oxides on the catalytic activity of Fe</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O</w:t>
      </w:r>
      <w:r w:rsidRPr="00FC4C66">
        <w:rPr>
          <w:rFonts w:ascii="STIXGeneral-Regular" w:eastAsia="Times New Roman" w:hAnsi="STIXGeneral-Regular" w:cs="Times New Roman"/>
          <w:color w:val="000000"/>
          <w:sz w:val="24"/>
          <w:szCs w:val="24"/>
          <w:vertAlign w:val="subscript"/>
        </w:rPr>
        <w:t>3 </w:t>
      </w:r>
      <w:r w:rsidRPr="00FC4C66">
        <w:rPr>
          <w:rFonts w:ascii="STIXGeneral-Regular" w:eastAsia="Times New Roman" w:hAnsi="STIXGeneral-Regular" w:cs="Times New Roman"/>
          <w:color w:val="000000"/>
          <w:sz w:val="24"/>
          <w:szCs w:val="24"/>
        </w:rPr>
        <w:t>in the water-gas shift reaction. An associative mechanistic of hydrogen production in the high temperature shift reaction was also developed on iron oxide catalyst.</w:t>
      </w:r>
    </w:p>
    <w:p w:rsidR="00FC4C66" w:rsidRPr="00FC4C66" w:rsidRDefault="00FC4C66" w:rsidP="00FC4C66">
      <w:pPr>
        <w:pBdr>
          <w:top w:val="single" w:sz="6" w:space="17" w:color="E3E3E3"/>
        </w:pBdr>
        <w:spacing w:before="225" w:after="0" w:line="240" w:lineRule="auto"/>
        <w:jc w:val="both"/>
        <w:outlineLvl w:val="3"/>
        <w:rPr>
          <w:rFonts w:ascii="Arial" w:eastAsia="Times New Roman" w:hAnsi="Arial" w:cs="Arial"/>
          <w:b/>
          <w:bCs/>
          <w:color w:val="000000"/>
          <w:sz w:val="30"/>
          <w:szCs w:val="30"/>
        </w:rPr>
      </w:pPr>
      <w:r w:rsidRPr="00FC4C66">
        <w:rPr>
          <w:rFonts w:ascii="Arial" w:eastAsia="Times New Roman" w:hAnsi="Arial" w:cs="Arial"/>
          <w:b/>
          <w:bCs/>
          <w:color w:val="000000"/>
          <w:sz w:val="30"/>
          <w:szCs w:val="30"/>
        </w:rPr>
        <w:t>2. Experimental</w:t>
      </w:r>
    </w:p>
    <w:p w:rsidR="00FC4C66" w:rsidRPr="00FC4C66" w:rsidRDefault="00FC4C66" w:rsidP="00FC4C66">
      <w:pPr>
        <w:spacing w:before="330" w:after="330" w:line="240" w:lineRule="auto"/>
        <w:jc w:val="both"/>
        <w:outlineLvl w:val="4"/>
        <w:rPr>
          <w:rFonts w:ascii="Arial" w:eastAsia="Times New Roman" w:hAnsi="Arial" w:cs="Arial"/>
          <w:b/>
          <w:bCs/>
          <w:color w:val="000000"/>
          <w:sz w:val="24"/>
          <w:szCs w:val="24"/>
        </w:rPr>
      </w:pPr>
      <w:r w:rsidRPr="00FC4C66">
        <w:rPr>
          <w:rFonts w:ascii="Arial" w:eastAsia="Times New Roman" w:hAnsi="Arial" w:cs="Arial"/>
          <w:b/>
          <w:bCs/>
          <w:color w:val="000000"/>
          <w:sz w:val="24"/>
          <w:szCs w:val="24"/>
        </w:rPr>
        <w:t>2.1. Materials Synthesis and Characterizations</w:t>
      </w:r>
    </w:p>
    <w:p w:rsidR="00FC4C66" w:rsidRPr="00FC4C66" w:rsidRDefault="00FC4C66" w:rsidP="00FC4C66">
      <w:pPr>
        <w:spacing w:before="180" w:after="180" w:line="300" w:lineRule="atLeast"/>
        <w:jc w:val="both"/>
        <w:rPr>
          <w:rFonts w:ascii="STIXGeneral-Regular" w:eastAsia="Times New Roman" w:hAnsi="STIXGeneral-Regular" w:cs="Times New Roman"/>
          <w:color w:val="000000"/>
          <w:sz w:val="24"/>
          <w:szCs w:val="24"/>
        </w:rPr>
      </w:pPr>
      <w:r w:rsidRPr="00FC4C66">
        <w:rPr>
          <w:rFonts w:ascii="STIXGeneral-Regular" w:eastAsia="Times New Roman" w:hAnsi="STIXGeneral-Regular" w:cs="Times New Roman"/>
          <w:color w:val="000000"/>
          <w:sz w:val="24"/>
          <w:szCs w:val="24"/>
        </w:rPr>
        <w:t>30 </w:t>
      </w:r>
      <w:proofErr w:type="spellStart"/>
      <w:r w:rsidRPr="00FC4C66">
        <w:rPr>
          <w:rFonts w:ascii="STIXGeneral-Regular" w:eastAsia="Times New Roman" w:hAnsi="STIXGeneral-Regular" w:cs="Times New Roman"/>
          <w:color w:val="000000"/>
          <w:sz w:val="24"/>
          <w:szCs w:val="24"/>
        </w:rPr>
        <w:t>wt</w:t>
      </w:r>
      <w:proofErr w:type="spellEnd"/>
      <w:r w:rsidRPr="00FC4C66">
        <w:rPr>
          <w:rFonts w:ascii="STIXGeneral-Regular" w:eastAsia="Times New Roman" w:hAnsi="STIXGeneral-Regular" w:cs="Times New Roman"/>
          <w:color w:val="000000"/>
          <w:sz w:val="24"/>
          <w:szCs w:val="24"/>
        </w:rPr>
        <w:t>% Fe</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O</w:t>
      </w:r>
      <w:r w:rsidRPr="00FC4C66">
        <w:rPr>
          <w:rFonts w:ascii="STIXGeneral-Regular" w:eastAsia="Times New Roman" w:hAnsi="STIXGeneral-Regular" w:cs="Times New Roman"/>
          <w:color w:val="000000"/>
          <w:sz w:val="24"/>
          <w:szCs w:val="24"/>
          <w:vertAlign w:val="subscript"/>
        </w:rPr>
        <w:t>3</w:t>
      </w:r>
      <w:r w:rsidRPr="00FC4C66">
        <w:rPr>
          <w:rFonts w:ascii="STIXGeneral-Regular" w:eastAsia="Times New Roman" w:hAnsi="STIXGeneral-Regular" w:cs="Times New Roman"/>
          <w:color w:val="000000"/>
          <w:sz w:val="24"/>
          <w:szCs w:val="24"/>
        </w:rPr>
        <w:t>- systems,</w:t>
      </w:r>
      <w:r w:rsidRPr="00FC4C66">
        <w:rPr>
          <w:rFonts w:ascii="STIXGeneral-Regular" w:eastAsia="Times New Roman" w:hAnsi="STIXGeneral-Regular" w:cs="Times New Roman"/>
          <w:i/>
          <w:iCs/>
          <w:color w:val="000000"/>
          <w:sz w:val="24"/>
          <w:szCs w:val="24"/>
        </w:rPr>
        <w:t> with M equal to Mg, Ti, or Si</w:t>
      </w:r>
      <w:r w:rsidRPr="00FC4C66">
        <w:rPr>
          <w:rFonts w:ascii="STIXGeneral-Regular" w:eastAsia="Times New Roman" w:hAnsi="STIXGeneral-Regular" w:cs="Times New Roman"/>
          <w:color w:val="000000"/>
          <w:sz w:val="24"/>
          <w:szCs w:val="24"/>
        </w:rPr>
        <w:t xml:space="preserve">, were prepared by incipient wetness impregnation method. This method consists of adsorbing an adequate aqueous solution of iron nitrate salt </w:t>
      </w:r>
      <w:proofErr w:type="gramStart"/>
      <w:r w:rsidRPr="00FC4C66">
        <w:rPr>
          <w:rFonts w:ascii="STIXGeneral-Regular" w:eastAsia="Times New Roman" w:hAnsi="STIXGeneral-Regular" w:cs="Times New Roman"/>
          <w:color w:val="000000"/>
          <w:sz w:val="24"/>
          <w:szCs w:val="24"/>
        </w:rPr>
        <w:t>Fe(</w:t>
      </w:r>
      <w:proofErr w:type="gramEnd"/>
      <w:r w:rsidRPr="00FC4C66">
        <w:rPr>
          <w:rFonts w:ascii="STIXGeneral-Regular" w:eastAsia="Times New Roman" w:hAnsi="STIXGeneral-Regular" w:cs="Times New Roman"/>
          <w:color w:val="000000"/>
          <w:sz w:val="24"/>
          <w:szCs w:val="24"/>
        </w:rPr>
        <w:t>NO</w:t>
      </w:r>
      <w:r w:rsidRPr="00FC4C66">
        <w:rPr>
          <w:rFonts w:ascii="STIXGeneral-Regular" w:eastAsia="Times New Roman" w:hAnsi="STIXGeneral-Regular" w:cs="Times New Roman"/>
          <w:color w:val="000000"/>
          <w:sz w:val="24"/>
          <w:szCs w:val="24"/>
          <w:vertAlign w:val="subscript"/>
        </w:rPr>
        <w:t>3</w:t>
      </w:r>
      <w:r w:rsidRPr="00FC4C66">
        <w:rPr>
          <w:rFonts w:ascii="STIXGeneral-Regular" w:eastAsia="Times New Roman" w:hAnsi="STIXGeneral-Regular" w:cs="Times New Roman"/>
          <w:color w:val="000000"/>
          <w:sz w:val="24"/>
          <w:szCs w:val="24"/>
        </w:rPr>
        <w:t>)</w:t>
      </w:r>
      <w:r w:rsidRPr="00FC4C66">
        <w:rPr>
          <w:rFonts w:ascii="STIXGeneral-Regular" w:eastAsia="Times New Roman" w:hAnsi="STIXGeneral-Regular" w:cs="Times New Roman"/>
          <w:color w:val="000000"/>
          <w:sz w:val="24"/>
          <w:szCs w:val="24"/>
          <w:vertAlign w:val="subscript"/>
        </w:rPr>
        <w:t>3</w:t>
      </w:r>
      <w:r w:rsidRPr="00FC4C66">
        <w:rPr>
          <w:rFonts w:ascii="STIXGeneral-Regular" w:eastAsia="Times New Roman" w:hAnsi="STIXGeneral-Regular" w:cs="Times New Roman"/>
          <w:color w:val="000000"/>
          <w:sz w:val="24"/>
          <w:szCs w:val="24"/>
        </w:rPr>
        <w:t>9 H</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 xml:space="preserve">O onto the selected support </w:t>
      </w:r>
      <w:proofErr w:type="spellStart"/>
      <w:r w:rsidRPr="00FC4C66">
        <w:rPr>
          <w:rFonts w:ascii="STIXGeneral-Regular" w:eastAsia="Times New Roman" w:hAnsi="STIXGeneral-Regular" w:cs="Times New Roman"/>
          <w:color w:val="000000"/>
          <w:sz w:val="24"/>
          <w:szCs w:val="24"/>
        </w:rPr>
        <w:t>MgO</w:t>
      </w:r>
      <w:proofErr w:type="spellEnd"/>
      <w:r w:rsidRPr="00FC4C66">
        <w:rPr>
          <w:rFonts w:ascii="STIXGeneral-Regular" w:eastAsia="Times New Roman" w:hAnsi="STIXGeneral-Regular" w:cs="Times New Roman"/>
          <w:color w:val="000000"/>
          <w:sz w:val="24"/>
          <w:szCs w:val="24"/>
        </w:rPr>
        <w:t>, TiO</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 or SiO</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 xml:space="preserve">. The systems obtained are 30Fe-Mg, 30Fe-Ti, and 30Fe-Si. All these solids were </w:t>
      </w:r>
      <w:proofErr w:type="spellStart"/>
      <w:r w:rsidRPr="00FC4C66">
        <w:rPr>
          <w:rFonts w:ascii="STIXGeneral-Regular" w:eastAsia="Times New Roman" w:hAnsi="STIXGeneral-Regular" w:cs="Times New Roman"/>
          <w:color w:val="000000"/>
          <w:sz w:val="24"/>
          <w:szCs w:val="24"/>
        </w:rPr>
        <w:t>calcined</w:t>
      </w:r>
      <w:proofErr w:type="spellEnd"/>
      <w:r w:rsidRPr="00FC4C66">
        <w:rPr>
          <w:rFonts w:ascii="STIXGeneral-Regular" w:eastAsia="Times New Roman" w:hAnsi="STIXGeneral-Regular" w:cs="Times New Roman"/>
          <w:color w:val="000000"/>
          <w:sz w:val="24"/>
          <w:szCs w:val="24"/>
        </w:rPr>
        <w:t xml:space="preserve"> at 400°C.</w:t>
      </w:r>
    </w:p>
    <w:p w:rsidR="00FC4C66" w:rsidRPr="00FC4C66" w:rsidRDefault="00FC4C66" w:rsidP="00FC4C66">
      <w:pPr>
        <w:spacing w:before="180" w:after="180" w:line="300" w:lineRule="atLeast"/>
        <w:jc w:val="both"/>
        <w:rPr>
          <w:rFonts w:ascii="STIXGeneral-Regular" w:eastAsia="Times New Roman" w:hAnsi="STIXGeneral-Regular" w:cs="Times New Roman"/>
          <w:color w:val="000000"/>
          <w:sz w:val="24"/>
          <w:szCs w:val="24"/>
        </w:rPr>
      </w:pPr>
      <w:r w:rsidRPr="00FC4C66">
        <w:rPr>
          <w:rFonts w:ascii="STIXGeneral-Regular" w:eastAsia="Times New Roman" w:hAnsi="STIXGeneral-Regular" w:cs="Times New Roman"/>
          <w:color w:val="000000"/>
          <w:sz w:val="24"/>
          <w:szCs w:val="24"/>
        </w:rPr>
        <w:t xml:space="preserve">The concentration of iron oxide in the solution was controlled to obtain the desired Fe content on </w:t>
      </w:r>
      <w:proofErr w:type="spellStart"/>
      <w:r w:rsidRPr="00FC4C66">
        <w:rPr>
          <w:rFonts w:ascii="STIXGeneral-Regular" w:eastAsia="Times New Roman" w:hAnsi="STIXGeneral-Regular" w:cs="Times New Roman"/>
          <w:color w:val="000000"/>
          <w:sz w:val="24"/>
          <w:szCs w:val="24"/>
        </w:rPr>
        <w:t>MgO</w:t>
      </w:r>
      <w:proofErr w:type="spellEnd"/>
      <w:r w:rsidRPr="00FC4C66">
        <w:rPr>
          <w:rFonts w:ascii="STIXGeneral-Regular" w:eastAsia="Times New Roman" w:hAnsi="STIXGeneral-Regular" w:cs="Times New Roman"/>
          <w:color w:val="000000"/>
          <w:sz w:val="24"/>
          <w:szCs w:val="24"/>
        </w:rPr>
        <w:t xml:space="preserve"> (5, 10, 20, and 30 </w:t>
      </w:r>
      <w:proofErr w:type="spellStart"/>
      <w:proofErr w:type="gramStart"/>
      <w:r w:rsidRPr="00FC4C66">
        <w:rPr>
          <w:rFonts w:ascii="STIXGeneral-Regular" w:eastAsia="Times New Roman" w:hAnsi="STIXGeneral-Regular" w:cs="Times New Roman"/>
          <w:color w:val="000000"/>
          <w:sz w:val="24"/>
          <w:szCs w:val="24"/>
        </w:rPr>
        <w:t>wt</w:t>
      </w:r>
      <w:proofErr w:type="spellEnd"/>
      <w:r w:rsidRPr="00FC4C66">
        <w:rPr>
          <w:rFonts w:ascii="STIXGeneral-Regular" w:eastAsia="Times New Roman" w:hAnsi="STIXGeneral-Regular" w:cs="Times New Roman"/>
          <w:color w:val="000000"/>
          <w:sz w:val="24"/>
          <w:szCs w:val="24"/>
        </w:rPr>
        <w:t>%</w:t>
      </w:r>
      <w:proofErr w:type="gramEnd"/>
      <w:r w:rsidRPr="00FC4C66">
        <w:rPr>
          <w:rFonts w:ascii="STIXGeneral-Regular" w:eastAsia="Times New Roman" w:hAnsi="STIXGeneral-Regular" w:cs="Times New Roman"/>
          <w:color w:val="000000"/>
          <w:sz w:val="24"/>
          <w:szCs w:val="24"/>
        </w:rPr>
        <w:t>). It is about 5Fe-Mg, 10Fe-Mg, 20Fe-Mg, and 30Fe-Mg, respectively.</w:t>
      </w:r>
    </w:p>
    <w:p w:rsidR="00FC4C66" w:rsidRPr="00FC4C66" w:rsidRDefault="00FC4C66" w:rsidP="00FC4C66">
      <w:pPr>
        <w:spacing w:before="180" w:after="180" w:line="300" w:lineRule="atLeast"/>
        <w:jc w:val="both"/>
        <w:rPr>
          <w:rFonts w:ascii="STIXGeneral-Regular" w:eastAsia="Times New Roman" w:hAnsi="STIXGeneral-Regular" w:cs="Times New Roman"/>
          <w:color w:val="000000"/>
          <w:sz w:val="24"/>
          <w:szCs w:val="24"/>
        </w:rPr>
      </w:pPr>
      <w:r w:rsidRPr="00FC4C66">
        <w:rPr>
          <w:rFonts w:ascii="STIXGeneral-Regular" w:eastAsia="Times New Roman" w:hAnsi="STIXGeneral-Regular" w:cs="Times New Roman"/>
          <w:color w:val="000000"/>
          <w:sz w:val="24"/>
          <w:szCs w:val="24"/>
        </w:rPr>
        <w:t xml:space="preserve">30Fe-Mg system was </w:t>
      </w:r>
      <w:proofErr w:type="spellStart"/>
      <w:r w:rsidRPr="00FC4C66">
        <w:rPr>
          <w:rFonts w:ascii="STIXGeneral-Regular" w:eastAsia="Times New Roman" w:hAnsi="STIXGeneral-Regular" w:cs="Times New Roman"/>
          <w:color w:val="000000"/>
          <w:sz w:val="24"/>
          <w:szCs w:val="24"/>
        </w:rPr>
        <w:t>calcined</w:t>
      </w:r>
      <w:proofErr w:type="spellEnd"/>
      <w:r w:rsidRPr="00FC4C66">
        <w:rPr>
          <w:rFonts w:ascii="STIXGeneral-Regular" w:eastAsia="Times New Roman" w:hAnsi="STIXGeneral-Regular" w:cs="Times New Roman"/>
          <w:color w:val="000000"/>
          <w:sz w:val="24"/>
          <w:szCs w:val="24"/>
        </w:rPr>
        <w:t xml:space="preserve"> for study needs at 200°C and 300°C. These systems are labeled 30Fe-Mg400, 30Fe-Mg300, and 30Fe-Mg200.</w:t>
      </w:r>
    </w:p>
    <w:p w:rsidR="00FC4C66" w:rsidRPr="00FC4C66" w:rsidRDefault="00FC4C66" w:rsidP="00FC4C66">
      <w:pPr>
        <w:spacing w:before="180" w:after="180" w:line="300" w:lineRule="atLeast"/>
        <w:jc w:val="both"/>
        <w:rPr>
          <w:rFonts w:ascii="STIXGeneral-Regular" w:eastAsia="Times New Roman" w:hAnsi="STIXGeneral-Regular" w:cs="Times New Roman"/>
          <w:color w:val="000000"/>
          <w:sz w:val="24"/>
          <w:szCs w:val="24"/>
        </w:rPr>
      </w:pPr>
      <w:r w:rsidRPr="00FC4C66">
        <w:rPr>
          <w:rFonts w:ascii="STIXGeneral-Regular" w:eastAsia="Times New Roman" w:hAnsi="STIXGeneral-Regular" w:cs="Times New Roman"/>
          <w:color w:val="000000"/>
          <w:sz w:val="24"/>
          <w:szCs w:val="24"/>
        </w:rPr>
        <w:t>The elaborated solids were then characterized by means of techniques of analysis, X-ray powder diffraction, CO</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 and NH</w:t>
      </w:r>
      <w:r w:rsidRPr="00FC4C66">
        <w:rPr>
          <w:rFonts w:ascii="STIXGeneral-Regular" w:eastAsia="Times New Roman" w:hAnsi="STIXGeneral-Regular" w:cs="Times New Roman"/>
          <w:color w:val="000000"/>
          <w:sz w:val="24"/>
          <w:szCs w:val="24"/>
          <w:vertAlign w:val="subscript"/>
        </w:rPr>
        <w:t>3</w:t>
      </w:r>
      <w:r w:rsidRPr="00FC4C66">
        <w:rPr>
          <w:rFonts w:ascii="STIXGeneral-Regular" w:eastAsia="Times New Roman" w:hAnsi="STIXGeneral-Regular" w:cs="Times New Roman"/>
          <w:color w:val="000000"/>
          <w:sz w:val="24"/>
          <w:szCs w:val="24"/>
        </w:rPr>
        <w:t xml:space="preserve"> adsorptions </w:t>
      </w:r>
      <w:proofErr w:type="spellStart"/>
      <w:r w:rsidRPr="00FC4C66">
        <w:rPr>
          <w:rFonts w:ascii="STIXGeneral-Regular" w:eastAsia="Times New Roman" w:hAnsi="STIXGeneral-Regular" w:cs="Times New Roman"/>
          <w:color w:val="000000"/>
          <w:sz w:val="24"/>
          <w:szCs w:val="24"/>
        </w:rPr>
        <w:t>calorimetry</w:t>
      </w:r>
      <w:proofErr w:type="spellEnd"/>
      <w:r w:rsidRPr="00FC4C66">
        <w:rPr>
          <w:rFonts w:ascii="STIXGeneral-Regular" w:eastAsia="Times New Roman" w:hAnsi="STIXGeneral-Regular" w:cs="Times New Roman"/>
          <w:color w:val="000000"/>
          <w:sz w:val="24"/>
          <w:szCs w:val="24"/>
        </w:rPr>
        <w:t>, and the diffuse reflectance infrared Fourier transform spectroscopy. X-ray diffraction studies were obtained with a Philips PW 1050/81 automated powder goniometer, equipped with a diffracted-beam graphite monochromatic Cu (K</w:t>
      </w:r>
      <w:r w:rsidRPr="00FC4C66">
        <w:rPr>
          <w:rFonts w:ascii="STIXGeneral-Regular" w:eastAsia="Times New Roman" w:hAnsi="STIXGeneral-Regular" w:cs="Times New Roman"/>
          <w:i/>
          <w:iCs/>
          <w:color w:val="000000"/>
          <w:sz w:val="24"/>
          <w:szCs w:val="24"/>
          <w:vertAlign w:val="subscript"/>
        </w:rPr>
        <w:t>α</w:t>
      </w:r>
      <w:r w:rsidRPr="00FC4C66">
        <w:rPr>
          <w:rFonts w:ascii="STIXGeneral-Regular" w:eastAsia="Times New Roman" w:hAnsi="STIXGeneral-Regular" w:cs="Times New Roman"/>
          <w:color w:val="000000"/>
          <w:sz w:val="24"/>
          <w:szCs w:val="24"/>
        </w:rPr>
        <w:t>) radiation. CO</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 and NH</w:t>
      </w:r>
      <w:r w:rsidRPr="00FC4C66">
        <w:rPr>
          <w:rFonts w:ascii="STIXGeneral-Regular" w:eastAsia="Times New Roman" w:hAnsi="STIXGeneral-Regular" w:cs="Times New Roman"/>
          <w:color w:val="000000"/>
          <w:sz w:val="24"/>
          <w:szCs w:val="24"/>
          <w:vertAlign w:val="subscript"/>
        </w:rPr>
        <w:t>3</w:t>
      </w:r>
      <w:r w:rsidRPr="00FC4C66">
        <w:rPr>
          <w:rFonts w:ascii="STIXGeneral-Regular" w:eastAsia="Times New Roman" w:hAnsi="STIXGeneral-Regular" w:cs="Times New Roman"/>
          <w:color w:val="000000"/>
          <w:sz w:val="24"/>
          <w:szCs w:val="24"/>
        </w:rPr>
        <w:t xml:space="preserve"> adsorptions </w:t>
      </w:r>
      <w:proofErr w:type="spellStart"/>
      <w:r w:rsidRPr="00FC4C66">
        <w:rPr>
          <w:rFonts w:ascii="STIXGeneral-Regular" w:eastAsia="Times New Roman" w:hAnsi="STIXGeneral-Regular" w:cs="Times New Roman"/>
          <w:color w:val="000000"/>
          <w:sz w:val="24"/>
          <w:szCs w:val="24"/>
        </w:rPr>
        <w:t>calorimetry</w:t>
      </w:r>
      <w:proofErr w:type="spellEnd"/>
      <w:r w:rsidRPr="00FC4C66">
        <w:rPr>
          <w:rFonts w:ascii="STIXGeneral-Regular" w:eastAsia="Times New Roman" w:hAnsi="STIXGeneral-Regular" w:cs="Times New Roman"/>
          <w:color w:val="000000"/>
          <w:sz w:val="24"/>
          <w:szCs w:val="24"/>
        </w:rPr>
        <w:t xml:space="preserve"> was carried out at 80°C after activation under H</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 xml:space="preserve"> flow at 200°C. Differential heats of adsorption were measured in a heat flow </w:t>
      </w:r>
      <w:proofErr w:type="spellStart"/>
      <w:r w:rsidRPr="00FC4C66">
        <w:rPr>
          <w:rFonts w:ascii="STIXGeneral-Regular" w:eastAsia="Times New Roman" w:hAnsi="STIXGeneral-Regular" w:cs="Times New Roman"/>
          <w:color w:val="000000"/>
          <w:sz w:val="24"/>
          <w:szCs w:val="24"/>
        </w:rPr>
        <w:t>Setaram</w:t>
      </w:r>
      <w:proofErr w:type="spellEnd"/>
      <w:r w:rsidRPr="00FC4C66">
        <w:rPr>
          <w:rFonts w:ascii="STIXGeneral-Regular" w:eastAsia="Times New Roman" w:hAnsi="STIXGeneral-Regular" w:cs="Times New Roman"/>
          <w:color w:val="000000"/>
          <w:sz w:val="24"/>
          <w:szCs w:val="24"/>
        </w:rPr>
        <w:t xml:space="preserve"> HT </w:t>
      </w:r>
      <w:proofErr w:type="spellStart"/>
      <w:r w:rsidRPr="00FC4C66">
        <w:rPr>
          <w:rFonts w:ascii="STIXGeneral-Regular" w:eastAsia="Times New Roman" w:hAnsi="STIXGeneral-Regular" w:cs="Times New Roman"/>
          <w:color w:val="000000"/>
          <w:sz w:val="24"/>
          <w:szCs w:val="24"/>
        </w:rPr>
        <w:t>microcalorimeter</w:t>
      </w:r>
      <w:proofErr w:type="spellEnd"/>
      <w:r w:rsidRPr="00FC4C66">
        <w:rPr>
          <w:rFonts w:ascii="STIXGeneral-Regular" w:eastAsia="Times New Roman" w:hAnsi="STIXGeneral-Regular" w:cs="Times New Roman"/>
          <w:color w:val="000000"/>
          <w:sz w:val="24"/>
          <w:szCs w:val="24"/>
        </w:rPr>
        <w:t xml:space="preserve"> linked to a volumetric adsorption system. Successive small doses of CO</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 or NH</w:t>
      </w:r>
      <w:r w:rsidRPr="00FC4C66">
        <w:rPr>
          <w:rFonts w:ascii="STIXGeneral-Regular" w:eastAsia="Times New Roman" w:hAnsi="STIXGeneral-Regular" w:cs="Times New Roman"/>
          <w:color w:val="000000"/>
          <w:sz w:val="24"/>
          <w:szCs w:val="24"/>
          <w:vertAlign w:val="subscript"/>
        </w:rPr>
        <w:t>3</w:t>
      </w:r>
      <w:r w:rsidRPr="00FC4C66">
        <w:rPr>
          <w:rFonts w:ascii="STIXGeneral-Regular" w:eastAsia="Times New Roman" w:hAnsi="STIXGeneral-Regular" w:cs="Times New Roman"/>
          <w:color w:val="000000"/>
          <w:sz w:val="24"/>
          <w:szCs w:val="24"/>
        </w:rPr>
        <w:t xml:space="preserve"> were sent over the catalytic surface. From the calorimetric and volumetric data, the differential heats of adsorption versus coverage and the corresponding isotherms are plotted. In situ diffuse reflectance infrared Fourier transform studies were performed on a Nicolet Magna IRTF spectrometer with OMNIC software. The reaction was performed in a high temperature </w:t>
      </w:r>
      <w:proofErr w:type="spellStart"/>
      <w:r w:rsidRPr="00FC4C66">
        <w:rPr>
          <w:rFonts w:ascii="STIXGeneral-Regular" w:eastAsia="Times New Roman" w:hAnsi="STIXGeneral-Regular" w:cs="Times New Roman"/>
          <w:color w:val="000000"/>
          <w:sz w:val="24"/>
          <w:szCs w:val="24"/>
        </w:rPr>
        <w:t>Spectratech</w:t>
      </w:r>
      <w:proofErr w:type="spellEnd"/>
      <w:r w:rsidRPr="00FC4C66">
        <w:rPr>
          <w:rFonts w:ascii="STIXGeneral-Regular" w:eastAsia="Times New Roman" w:hAnsi="STIXGeneral-Regular" w:cs="Times New Roman"/>
          <w:color w:val="000000"/>
          <w:sz w:val="24"/>
          <w:szCs w:val="24"/>
        </w:rPr>
        <w:t xml:space="preserve"> cell equipped with a </w:t>
      </w:r>
      <w:proofErr w:type="spellStart"/>
      <w:r w:rsidRPr="00FC4C66">
        <w:rPr>
          <w:rFonts w:ascii="STIXGeneral-Regular" w:eastAsia="Times New Roman" w:hAnsi="STIXGeneral-Regular" w:cs="Times New Roman"/>
          <w:color w:val="000000"/>
          <w:sz w:val="24"/>
          <w:szCs w:val="24"/>
        </w:rPr>
        <w:t>ZnSe</w:t>
      </w:r>
      <w:proofErr w:type="spellEnd"/>
      <w:r w:rsidRPr="00FC4C66">
        <w:rPr>
          <w:rFonts w:ascii="STIXGeneral-Regular" w:eastAsia="Times New Roman" w:hAnsi="STIXGeneral-Regular" w:cs="Times New Roman"/>
          <w:color w:val="000000"/>
          <w:sz w:val="24"/>
          <w:szCs w:val="24"/>
        </w:rPr>
        <w:t xml:space="preserve"> window. A sample was first treated in a flow of (~35 mL/min) H</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 at 400°C for 30 min (high-temperature treatment) before each experiment. After this treatment, the sample was cooled under helium and then put in contact with the reacting mixture CO + H</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O at increasing temperature from 25 to 450°C.</w:t>
      </w:r>
    </w:p>
    <w:p w:rsidR="00FC4C66" w:rsidRPr="00FC4C66" w:rsidRDefault="00FC4C66" w:rsidP="00FC4C66">
      <w:pPr>
        <w:spacing w:before="330" w:after="330" w:line="240" w:lineRule="auto"/>
        <w:jc w:val="both"/>
        <w:outlineLvl w:val="4"/>
        <w:rPr>
          <w:rFonts w:ascii="Arial" w:eastAsia="Times New Roman" w:hAnsi="Arial" w:cs="Arial"/>
          <w:b/>
          <w:bCs/>
          <w:color w:val="000000"/>
          <w:sz w:val="24"/>
          <w:szCs w:val="24"/>
        </w:rPr>
      </w:pPr>
      <w:r w:rsidRPr="00FC4C66">
        <w:rPr>
          <w:rFonts w:ascii="Arial" w:eastAsia="Times New Roman" w:hAnsi="Arial" w:cs="Arial"/>
          <w:b/>
          <w:bCs/>
          <w:color w:val="000000"/>
          <w:sz w:val="24"/>
          <w:szCs w:val="24"/>
        </w:rPr>
        <w:t>2.2. CO + H</w:t>
      </w:r>
      <w:r w:rsidRPr="00FC4C66">
        <w:rPr>
          <w:rFonts w:ascii="Arial" w:eastAsia="Times New Roman" w:hAnsi="Arial" w:cs="Arial"/>
          <w:b/>
          <w:bCs/>
          <w:color w:val="000000"/>
          <w:sz w:val="24"/>
          <w:szCs w:val="24"/>
          <w:vertAlign w:val="subscript"/>
        </w:rPr>
        <w:t>2</w:t>
      </w:r>
      <w:r w:rsidRPr="00FC4C66">
        <w:rPr>
          <w:rFonts w:ascii="Arial" w:eastAsia="Times New Roman" w:hAnsi="Arial" w:cs="Arial"/>
          <w:b/>
          <w:bCs/>
          <w:color w:val="000000"/>
          <w:sz w:val="24"/>
          <w:szCs w:val="24"/>
        </w:rPr>
        <w:t>O Reaction</w:t>
      </w:r>
    </w:p>
    <w:p w:rsidR="00FC4C66" w:rsidRPr="00FC4C66" w:rsidRDefault="00FC4C66" w:rsidP="00FC4C66">
      <w:pPr>
        <w:spacing w:before="180" w:after="180" w:line="300" w:lineRule="atLeast"/>
        <w:jc w:val="both"/>
        <w:rPr>
          <w:rFonts w:ascii="STIXGeneral-Regular" w:eastAsia="Times New Roman" w:hAnsi="STIXGeneral-Regular" w:cs="Times New Roman"/>
          <w:color w:val="000000"/>
          <w:sz w:val="24"/>
          <w:szCs w:val="24"/>
        </w:rPr>
      </w:pPr>
      <w:r w:rsidRPr="00FC4C66">
        <w:rPr>
          <w:rFonts w:ascii="STIXGeneral-Regular" w:eastAsia="Times New Roman" w:hAnsi="STIXGeneral-Regular" w:cs="Times New Roman"/>
          <w:color w:val="000000"/>
          <w:sz w:val="24"/>
          <w:szCs w:val="24"/>
        </w:rPr>
        <w:t xml:space="preserve">Catalytic properties of Fe-only and Fe-supported systems were examined in the reaction of the conversion of carbon oxide to carbon dioxide usually named WGSR between 350°C and 450°C. </w:t>
      </w:r>
      <w:r w:rsidRPr="00FC4C66">
        <w:rPr>
          <w:rFonts w:ascii="STIXGeneral-Regular" w:eastAsia="Times New Roman" w:hAnsi="STIXGeneral-Regular" w:cs="Times New Roman"/>
          <w:color w:val="000000"/>
          <w:sz w:val="24"/>
          <w:szCs w:val="24"/>
        </w:rPr>
        <w:lastRenderedPageBreak/>
        <w:t>The reduction treatment was carried for all Fe-based catalysts with a mixture of H</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/N</w:t>
      </w:r>
      <w:r w:rsidRPr="00FC4C66">
        <w:rPr>
          <w:rFonts w:ascii="STIXGeneral-Regular" w:eastAsia="Times New Roman" w:hAnsi="STIXGeneral-Regular" w:cs="Times New Roman"/>
          <w:color w:val="000000"/>
          <w:sz w:val="24"/>
          <w:szCs w:val="24"/>
          <w:vertAlign w:val="subscript"/>
        </w:rPr>
        <w:t>2 </w:t>
      </w:r>
      <w:r w:rsidRPr="00FC4C66">
        <w:rPr>
          <w:rFonts w:ascii="STIXGeneral-Regular" w:eastAsia="Times New Roman" w:hAnsi="STIXGeneral-Regular" w:cs="Times New Roman"/>
          <w:color w:val="000000"/>
          <w:sz w:val="24"/>
          <w:szCs w:val="24"/>
        </w:rPr>
        <w:t>at 450°C during 60 min with a heating rate of 5°Cmin</w:t>
      </w:r>
      <w:r w:rsidRPr="00FC4C66">
        <w:rPr>
          <w:rFonts w:ascii="STIXGeneral-Regular" w:eastAsia="Times New Roman" w:hAnsi="STIXGeneral-Regular" w:cs="Times New Roman"/>
          <w:color w:val="000000"/>
          <w:sz w:val="24"/>
          <w:szCs w:val="24"/>
          <w:vertAlign w:val="superscript"/>
        </w:rPr>
        <w:t>−1</w:t>
      </w:r>
      <w:r w:rsidRPr="00FC4C66">
        <w:rPr>
          <w:rFonts w:ascii="STIXGeneral-Regular" w:eastAsia="Times New Roman" w:hAnsi="STIXGeneral-Regular" w:cs="Times New Roman"/>
          <w:color w:val="000000"/>
          <w:sz w:val="24"/>
          <w:szCs w:val="24"/>
        </w:rPr>
        <w:t>. The mixtures of reactant gases, H</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 xml:space="preserve">O/CO = 4.4 at a total flow-rate of 33 mL/min, and products were periodically </w:t>
      </w:r>
      <w:proofErr w:type="spellStart"/>
      <w:r w:rsidRPr="00FC4C66">
        <w:rPr>
          <w:rFonts w:ascii="STIXGeneral-Regular" w:eastAsia="Times New Roman" w:hAnsi="STIXGeneral-Regular" w:cs="Times New Roman"/>
          <w:color w:val="000000"/>
          <w:sz w:val="24"/>
          <w:szCs w:val="24"/>
        </w:rPr>
        <w:t>analysed</w:t>
      </w:r>
      <w:proofErr w:type="spellEnd"/>
      <w:r w:rsidRPr="00FC4C66">
        <w:rPr>
          <w:rFonts w:ascii="STIXGeneral-Regular" w:eastAsia="Times New Roman" w:hAnsi="STIXGeneral-Regular" w:cs="Times New Roman"/>
          <w:color w:val="000000"/>
          <w:sz w:val="24"/>
          <w:szCs w:val="24"/>
        </w:rPr>
        <w:t xml:space="preserve"> on line using a TCD chromatograph which contained two 4 m </w:t>
      </w:r>
      <w:proofErr w:type="spellStart"/>
      <w:r w:rsidRPr="00FC4C66">
        <w:rPr>
          <w:rFonts w:ascii="STIXGeneral-Regular" w:eastAsia="Times New Roman" w:hAnsi="STIXGeneral-Regular" w:cs="Times New Roman"/>
          <w:color w:val="000000"/>
          <w:sz w:val="24"/>
          <w:szCs w:val="24"/>
        </w:rPr>
        <w:t>carbosieve</w:t>
      </w:r>
      <w:proofErr w:type="spellEnd"/>
      <w:r w:rsidRPr="00FC4C66">
        <w:rPr>
          <w:rFonts w:ascii="STIXGeneral-Regular" w:eastAsia="Times New Roman" w:hAnsi="STIXGeneral-Regular" w:cs="Times New Roman"/>
          <w:color w:val="000000"/>
          <w:sz w:val="24"/>
          <w:szCs w:val="24"/>
        </w:rPr>
        <w:t xml:space="preserve"> B columns (1/8 inch, 100 to 200 mesh). Prior to analysis, the effluent was passed through a water-trap at 0°C in order to remove reaction water.</w:t>
      </w:r>
    </w:p>
    <w:p w:rsidR="00FC4C66" w:rsidRPr="00FC4C66" w:rsidRDefault="00FC4C66" w:rsidP="00FC4C66">
      <w:pPr>
        <w:pBdr>
          <w:top w:val="single" w:sz="6" w:space="17" w:color="E3E3E3"/>
        </w:pBdr>
        <w:spacing w:before="225" w:after="0" w:line="240" w:lineRule="auto"/>
        <w:jc w:val="both"/>
        <w:outlineLvl w:val="3"/>
        <w:rPr>
          <w:rFonts w:ascii="Arial" w:eastAsia="Times New Roman" w:hAnsi="Arial" w:cs="Arial"/>
          <w:b/>
          <w:bCs/>
          <w:color w:val="000000"/>
          <w:sz w:val="30"/>
          <w:szCs w:val="30"/>
        </w:rPr>
      </w:pPr>
      <w:r w:rsidRPr="00FC4C66">
        <w:rPr>
          <w:rFonts w:ascii="Arial" w:eastAsia="Times New Roman" w:hAnsi="Arial" w:cs="Arial"/>
          <w:b/>
          <w:bCs/>
          <w:color w:val="000000"/>
          <w:sz w:val="30"/>
          <w:szCs w:val="30"/>
        </w:rPr>
        <w:t>3. Results and Discussions</w:t>
      </w:r>
    </w:p>
    <w:p w:rsidR="00FC4C66" w:rsidRPr="00FC4C66" w:rsidRDefault="00FC4C66" w:rsidP="00FC4C66">
      <w:pPr>
        <w:spacing w:before="330" w:after="330" w:line="240" w:lineRule="auto"/>
        <w:jc w:val="both"/>
        <w:outlineLvl w:val="4"/>
        <w:rPr>
          <w:rFonts w:ascii="Arial" w:eastAsia="Times New Roman" w:hAnsi="Arial" w:cs="Arial"/>
          <w:b/>
          <w:bCs/>
          <w:color w:val="000000"/>
          <w:sz w:val="24"/>
          <w:szCs w:val="24"/>
        </w:rPr>
      </w:pPr>
      <w:r w:rsidRPr="00FC4C66">
        <w:rPr>
          <w:rFonts w:ascii="Arial" w:eastAsia="Times New Roman" w:hAnsi="Arial" w:cs="Arial"/>
          <w:b/>
          <w:bCs/>
          <w:color w:val="000000"/>
          <w:sz w:val="24"/>
          <w:szCs w:val="24"/>
        </w:rPr>
        <w:t>3.1. Fe-Cr Systems</w:t>
      </w:r>
    </w:p>
    <w:p w:rsidR="00FC4C66" w:rsidRPr="00FC4C66" w:rsidRDefault="00FC4C66" w:rsidP="00FC4C66">
      <w:pPr>
        <w:spacing w:before="180" w:after="180" w:line="300" w:lineRule="atLeast"/>
        <w:jc w:val="both"/>
        <w:rPr>
          <w:rFonts w:ascii="STIXGeneral-Regular" w:eastAsia="Times New Roman" w:hAnsi="STIXGeneral-Regular" w:cs="Times New Roman"/>
          <w:color w:val="000000"/>
          <w:sz w:val="24"/>
          <w:szCs w:val="24"/>
        </w:rPr>
      </w:pPr>
      <w:r w:rsidRPr="00FC4C66">
        <w:rPr>
          <w:rFonts w:ascii="STIXGeneral-Regular" w:eastAsia="Times New Roman" w:hAnsi="STIXGeneral-Regular" w:cs="Times New Roman"/>
          <w:color w:val="000000"/>
          <w:sz w:val="24"/>
          <w:szCs w:val="24"/>
        </w:rPr>
        <w:t>Iron and chromium based catalysts, known generally as high temperature shift catalysts, are active within the temperature range of 350–450°C. Three methods of preparation of iron-chromium oxides, described obviously in [3], are chosen to study their catalytic activities in WGS reaction. The hydrogen produced via the CO + H</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O process at 450°C of the Fe-only and Fe-Cr synthesized under various preparation methods is presented in Figure </w:t>
      </w:r>
      <w:hyperlink r:id="rId5" w:tgtFrame="_blank" w:history="1">
        <w:r w:rsidRPr="00FC4C66">
          <w:rPr>
            <w:rFonts w:ascii="STIXGeneral-Regular" w:eastAsia="Times New Roman" w:hAnsi="STIXGeneral-Regular" w:cs="Times New Roman"/>
            <w:color w:val="4D8A17"/>
            <w:sz w:val="24"/>
            <w:szCs w:val="24"/>
            <w:u w:val="single"/>
          </w:rPr>
          <w:t>1</w:t>
        </w:r>
      </w:hyperlink>
      <w:r w:rsidRPr="00FC4C66">
        <w:rPr>
          <w:rFonts w:ascii="STIXGeneral-Regular" w:eastAsia="Times New Roman" w:hAnsi="STIXGeneral-Regular" w:cs="Times New Roman"/>
          <w:color w:val="000000"/>
          <w:sz w:val="24"/>
          <w:szCs w:val="24"/>
        </w:rPr>
        <w:t>. The samples were reduced in a mixture of H</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 + N</w:t>
      </w:r>
      <w:r w:rsidRPr="00FC4C66">
        <w:rPr>
          <w:rFonts w:ascii="STIXGeneral-Regular" w:eastAsia="Times New Roman" w:hAnsi="STIXGeneral-Regular" w:cs="Times New Roman"/>
          <w:color w:val="000000"/>
          <w:sz w:val="24"/>
          <w:szCs w:val="24"/>
          <w:vertAlign w:val="subscript"/>
        </w:rPr>
        <w:t>2 </w:t>
      </w:r>
      <w:r w:rsidRPr="00FC4C66">
        <w:rPr>
          <w:rFonts w:ascii="STIXGeneral-Regular" w:eastAsia="Times New Roman" w:hAnsi="STIXGeneral-Regular" w:cs="Times New Roman"/>
          <w:color w:val="000000"/>
          <w:sz w:val="24"/>
          <w:szCs w:val="24"/>
        </w:rPr>
        <w:t xml:space="preserve">at 450°C during 60 min before the reaction. The Fe-Cr prepared by substituting Fe by Cr stays almost inactive for all the duration of the study, while Fe-Cr prepared by the </w:t>
      </w:r>
      <w:proofErr w:type="spellStart"/>
      <w:r w:rsidRPr="00FC4C66">
        <w:rPr>
          <w:rFonts w:ascii="STIXGeneral-Regular" w:eastAsia="Times New Roman" w:hAnsi="STIXGeneral-Regular" w:cs="Times New Roman"/>
          <w:color w:val="000000"/>
          <w:sz w:val="24"/>
          <w:szCs w:val="24"/>
        </w:rPr>
        <w:t>coprecipitation</w:t>
      </w:r>
      <w:proofErr w:type="spellEnd"/>
      <w:r w:rsidRPr="00FC4C66">
        <w:rPr>
          <w:rFonts w:ascii="STIXGeneral-Regular" w:eastAsia="Times New Roman" w:hAnsi="STIXGeneral-Regular" w:cs="Times New Roman"/>
          <w:color w:val="000000"/>
          <w:sz w:val="24"/>
          <w:szCs w:val="24"/>
        </w:rPr>
        <w:t xml:space="preserve"> technique provides the highest values of H</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 after 90 min of reaction time and Fe-Cr prepared via impregnation method exhibits an intermediate performance. In turn, the Fe-only catalyst presents very high initial activity which decreased significantly with the reaction time to values one more active than the promoted catalyst Fe-Cr prepared via impregnation method. This loss of activity and stability can be related to the sintering of the iron oxide phase. It has been proved that the addition of chromium oxide to Fe</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O</w:t>
      </w:r>
      <w:r w:rsidRPr="00FC4C66">
        <w:rPr>
          <w:rFonts w:ascii="STIXGeneral-Regular" w:eastAsia="Times New Roman" w:hAnsi="STIXGeneral-Regular" w:cs="Times New Roman"/>
          <w:color w:val="000000"/>
          <w:sz w:val="24"/>
          <w:szCs w:val="24"/>
          <w:vertAlign w:val="subscript"/>
        </w:rPr>
        <w:t>3</w:t>
      </w:r>
      <w:r w:rsidRPr="00FC4C66">
        <w:rPr>
          <w:rFonts w:ascii="STIXGeneral-Regular" w:eastAsia="Times New Roman" w:hAnsi="STIXGeneral-Regular" w:cs="Times New Roman"/>
          <w:color w:val="000000"/>
          <w:sz w:val="24"/>
          <w:szCs w:val="24"/>
        </w:rPr>
        <w:t> slows the deactivation of the iron oxide [14].</w:t>
      </w:r>
    </w:p>
    <w:p w:rsidR="00FC4C66" w:rsidRPr="00FC4C66" w:rsidRDefault="00FC4C66" w:rsidP="00FC4C66">
      <w:pPr>
        <w:spacing w:after="0" w:line="240" w:lineRule="auto"/>
        <w:jc w:val="center"/>
        <w:rPr>
          <w:rFonts w:ascii="STIXGeneral-Regular" w:eastAsia="Times New Roman" w:hAnsi="STIXGeneral-Regular" w:cs="Times New Roman"/>
          <w:color w:val="000000"/>
          <w:sz w:val="24"/>
          <w:szCs w:val="24"/>
        </w:rPr>
      </w:pPr>
      <w:r w:rsidRPr="00FC4C66">
        <w:rPr>
          <w:rFonts w:ascii="STIXGeneral-Regular" w:eastAsia="Times New Roman" w:hAnsi="STIXGeneral-Regular" w:cs="Times New Roman"/>
          <w:noProof/>
          <w:color w:val="000000"/>
          <w:sz w:val="24"/>
          <w:szCs w:val="24"/>
        </w:rPr>
        <w:lastRenderedPageBreak/>
        <w:drawing>
          <wp:inline distT="0" distB="0" distL="0" distR="0">
            <wp:extent cx="5715000" cy="4752975"/>
            <wp:effectExtent l="0" t="0" r="0" b="9525"/>
            <wp:docPr id="3" name="Picture 3" descr="https://static-01.hindawi.com/articles/jcat/volume-2014/612575/figures/612575.fi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hindawi.com/articles/jcat/volume-2014/612575/figures/612575.fig.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752975"/>
                    </a:xfrm>
                    <a:prstGeom prst="rect">
                      <a:avLst/>
                    </a:prstGeom>
                    <a:noFill/>
                    <a:ln>
                      <a:noFill/>
                    </a:ln>
                  </pic:spPr>
                </pic:pic>
              </a:graphicData>
            </a:graphic>
          </wp:inline>
        </w:drawing>
      </w:r>
      <w:r w:rsidRPr="00FC4C66">
        <w:rPr>
          <w:rFonts w:ascii="STIXGeneral-Regular" w:eastAsia="Times New Roman" w:hAnsi="STIXGeneral-Regular" w:cs="Times New Roman"/>
          <w:color w:val="000000"/>
          <w:sz w:val="24"/>
          <w:szCs w:val="24"/>
        </w:rPr>
        <w:br/>
      </w:r>
    </w:p>
    <w:p w:rsidR="00FC4C66" w:rsidRPr="00FC4C66" w:rsidRDefault="00FC4C66" w:rsidP="00FC4C66">
      <w:pPr>
        <w:shd w:val="clear" w:color="auto" w:fill="E3E3E3"/>
        <w:spacing w:after="0" w:line="240" w:lineRule="auto"/>
        <w:jc w:val="both"/>
        <w:rPr>
          <w:rFonts w:ascii="STIXGeneral-Regular" w:eastAsia="Times New Roman" w:hAnsi="STIXGeneral-Regular" w:cs="Times New Roman"/>
          <w:color w:val="000000"/>
          <w:sz w:val="24"/>
          <w:szCs w:val="24"/>
        </w:rPr>
      </w:pPr>
      <w:r w:rsidRPr="00FC4C66">
        <w:rPr>
          <w:rFonts w:ascii="STIXGeneral-Regular" w:eastAsia="Times New Roman" w:hAnsi="STIXGeneral-Regular" w:cs="Times New Roman"/>
          <w:b/>
          <w:bCs/>
          <w:color w:val="000000"/>
          <w:sz w:val="24"/>
          <w:szCs w:val="24"/>
        </w:rPr>
        <w:t>Figure 1</w:t>
      </w:r>
      <w:hyperlink r:id="rId7" w:tgtFrame="_blank" w:tooltip="full view" w:history="1">
        <w:r w:rsidRPr="00FC4C66">
          <w:rPr>
            <w:rFonts w:ascii="STIXGeneral-Regular" w:eastAsia="Times New Roman" w:hAnsi="STIXGeneral-Regular" w:cs="Times New Roman"/>
            <w:color w:val="4D8A17"/>
            <w:sz w:val="24"/>
            <w:szCs w:val="24"/>
            <w:u w:val="single"/>
          </w:rPr>
          <w:t> </w:t>
        </w:r>
      </w:hyperlink>
    </w:p>
    <w:p w:rsidR="00FC4C66" w:rsidRPr="00FC4C66" w:rsidRDefault="00FC4C66" w:rsidP="00FC4C66">
      <w:pPr>
        <w:shd w:val="clear" w:color="auto" w:fill="E3E3E3"/>
        <w:spacing w:line="240" w:lineRule="auto"/>
        <w:jc w:val="both"/>
        <w:rPr>
          <w:rFonts w:ascii="STIXGeneral-Regular" w:eastAsia="Times New Roman" w:hAnsi="STIXGeneral-Regular" w:cs="Times New Roman"/>
          <w:color w:val="000000"/>
          <w:sz w:val="21"/>
          <w:szCs w:val="21"/>
        </w:rPr>
      </w:pPr>
      <w:r w:rsidRPr="00FC4C66">
        <w:rPr>
          <w:rFonts w:ascii="STIXGeneral-Regular" w:eastAsia="Times New Roman" w:hAnsi="STIXGeneral-Regular" w:cs="Times New Roman"/>
          <w:color w:val="000000"/>
          <w:sz w:val="21"/>
          <w:szCs w:val="21"/>
        </w:rPr>
        <w:t xml:space="preserve">Hydrogen generation via WGSR of the </w:t>
      </w:r>
      <w:proofErr w:type="spellStart"/>
      <w:r w:rsidRPr="00FC4C66">
        <w:rPr>
          <w:rFonts w:ascii="STIXGeneral-Regular" w:eastAsia="Times New Roman" w:hAnsi="STIXGeneral-Regular" w:cs="Times New Roman"/>
          <w:color w:val="000000"/>
          <w:sz w:val="21"/>
          <w:szCs w:val="21"/>
        </w:rPr>
        <w:t>calcined</w:t>
      </w:r>
      <w:proofErr w:type="spellEnd"/>
      <w:r w:rsidRPr="00FC4C66">
        <w:rPr>
          <w:rFonts w:ascii="STIXGeneral-Regular" w:eastAsia="Times New Roman" w:hAnsi="STIXGeneral-Regular" w:cs="Times New Roman"/>
          <w:color w:val="000000"/>
          <w:sz w:val="21"/>
          <w:szCs w:val="21"/>
        </w:rPr>
        <w:t xml:space="preserve"> and reduced solids prepared by (-) substitution, (</w:t>
      </w:r>
      <w:r w:rsidRPr="00FC4C66">
        <w:rPr>
          <w:rFonts w:ascii="Cambria Math" w:eastAsia="Times New Roman" w:hAnsi="Cambria Math" w:cs="Cambria Math"/>
          <w:i/>
          <w:iCs/>
          <w:color w:val="000000"/>
          <w:sz w:val="21"/>
          <w:szCs w:val="21"/>
        </w:rPr>
        <w:t>◆</w:t>
      </w:r>
      <w:r w:rsidRPr="00FC4C66">
        <w:rPr>
          <w:rFonts w:ascii="STIXGeneral-Regular" w:eastAsia="Times New Roman" w:hAnsi="STIXGeneral-Regular" w:cs="Times New Roman"/>
          <w:color w:val="000000"/>
          <w:sz w:val="21"/>
          <w:szCs w:val="21"/>
        </w:rPr>
        <w:t xml:space="preserve">) impregnation, and (▲) </w:t>
      </w:r>
      <w:proofErr w:type="spellStart"/>
      <w:r w:rsidRPr="00FC4C66">
        <w:rPr>
          <w:rFonts w:ascii="STIXGeneral-Regular" w:eastAsia="Times New Roman" w:hAnsi="STIXGeneral-Regular" w:cs="Times New Roman"/>
          <w:color w:val="000000"/>
          <w:sz w:val="21"/>
          <w:szCs w:val="21"/>
        </w:rPr>
        <w:t>coprecipitation</w:t>
      </w:r>
      <w:proofErr w:type="spellEnd"/>
      <w:r w:rsidRPr="00FC4C66">
        <w:rPr>
          <w:rFonts w:ascii="STIXGeneral-Regular" w:eastAsia="Times New Roman" w:hAnsi="STIXGeneral-Regular" w:cs="Times New Roman"/>
          <w:color w:val="000000"/>
          <w:sz w:val="21"/>
          <w:szCs w:val="21"/>
        </w:rPr>
        <w:t xml:space="preserve"> methods. (■) corresponds to Fe</w:t>
      </w:r>
      <w:r w:rsidRPr="00FC4C66">
        <w:rPr>
          <w:rFonts w:ascii="STIXGeneral-Regular" w:eastAsia="Times New Roman" w:hAnsi="STIXGeneral-Regular" w:cs="Times New Roman"/>
          <w:color w:val="000000"/>
          <w:sz w:val="21"/>
          <w:szCs w:val="21"/>
          <w:vertAlign w:val="subscript"/>
        </w:rPr>
        <w:t>2</w:t>
      </w:r>
      <w:r w:rsidRPr="00FC4C66">
        <w:rPr>
          <w:rFonts w:ascii="STIXGeneral-Regular" w:eastAsia="Times New Roman" w:hAnsi="STIXGeneral-Regular" w:cs="Times New Roman"/>
          <w:color w:val="000000"/>
          <w:sz w:val="21"/>
          <w:szCs w:val="21"/>
        </w:rPr>
        <w:t>O</w:t>
      </w:r>
      <w:r w:rsidRPr="00FC4C66">
        <w:rPr>
          <w:rFonts w:ascii="STIXGeneral-Regular" w:eastAsia="Times New Roman" w:hAnsi="STIXGeneral-Regular" w:cs="Times New Roman"/>
          <w:color w:val="000000"/>
          <w:sz w:val="21"/>
          <w:szCs w:val="21"/>
          <w:vertAlign w:val="subscript"/>
        </w:rPr>
        <w:t>3</w:t>
      </w:r>
      <w:r w:rsidRPr="00FC4C66">
        <w:rPr>
          <w:rFonts w:ascii="STIXGeneral-Regular" w:eastAsia="Times New Roman" w:hAnsi="STIXGeneral-Regular" w:cs="Times New Roman"/>
          <w:color w:val="000000"/>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C4C66" w:rsidRPr="00FC4C66" w:rsidTr="00FC4C66">
        <w:trPr>
          <w:tblCellSpacing w:w="15" w:type="dxa"/>
        </w:trPr>
        <w:tc>
          <w:tcPr>
            <w:tcW w:w="0" w:type="auto"/>
            <w:vAlign w:val="center"/>
            <w:hideMark/>
          </w:tcPr>
          <w:p w:rsidR="00FC4C66" w:rsidRPr="00FC4C66" w:rsidRDefault="00FC4C66" w:rsidP="00FC4C66">
            <w:pPr>
              <w:shd w:val="clear" w:color="auto" w:fill="E3E3E3"/>
              <w:spacing w:after="0" w:line="240" w:lineRule="auto"/>
              <w:jc w:val="both"/>
              <w:rPr>
                <w:rFonts w:ascii="STIXGeneral-Regular" w:eastAsia="Times New Roman" w:hAnsi="STIXGeneral-Regular" w:cs="Times New Roman"/>
                <w:color w:val="000000"/>
                <w:sz w:val="21"/>
                <w:szCs w:val="21"/>
              </w:rPr>
            </w:pPr>
          </w:p>
        </w:tc>
      </w:tr>
    </w:tbl>
    <w:p w:rsidR="00FC4C66" w:rsidRPr="00FC4C66" w:rsidRDefault="00FC4C66" w:rsidP="00FC4C66">
      <w:pPr>
        <w:spacing w:before="330" w:after="330" w:line="240" w:lineRule="auto"/>
        <w:jc w:val="both"/>
        <w:outlineLvl w:val="4"/>
        <w:rPr>
          <w:rFonts w:ascii="Arial" w:eastAsia="Times New Roman" w:hAnsi="Arial" w:cs="Arial"/>
          <w:b/>
          <w:bCs/>
          <w:color w:val="000000"/>
          <w:sz w:val="24"/>
          <w:szCs w:val="24"/>
        </w:rPr>
      </w:pPr>
      <w:r w:rsidRPr="00FC4C66">
        <w:rPr>
          <w:rFonts w:ascii="Arial" w:eastAsia="Times New Roman" w:hAnsi="Arial" w:cs="Arial"/>
          <w:b/>
          <w:bCs/>
          <w:color w:val="000000"/>
          <w:sz w:val="24"/>
          <w:szCs w:val="24"/>
        </w:rPr>
        <w:t>3.2. Fe-Mg Systems</w:t>
      </w:r>
    </w:p>
    <w:p w:rsidR="00FC4C66" w:rsidRPr="00FC4C66" w:rsidRDefault="00FC4C66" w:rsidP="00FC4C66">
      <w:pPr>
        <w:spacing w:before="180" w:after="180" w:line="300" w:lineRule="atLeast"/>
        <w:jc w:val="both"/>
        <w:rPr>
          <w:rFonts w:ascii="STIXGeneral-Regular" w:eastAsia="Times New Roman" w:hAnsi="STIXGeneral-Regular" w:cs="Times New Roman"/>
          <w:color w:val="000000"/>
          <w:sz w:val="24"/>
          <w:szCs w:val="24"/>
        </w:rPr>
      </w:pPr>
      <w:r w:rsidRPr="00FC4C66">
        <w:rPr>
          <w:rFonts w:ascii="STIXGeneral-Regular" w:eastAsia="Times New Roman" w:hAnsi="STIXGeneral-Regular" w:cs="Times New Roman"/>
          <w:color w:val="000000"/>
          <w:sz w:val="24"/>
          <w:szCs w:val="24"/>
        </w:rPr>
        <w:t xml:space="preserve">The aim of this part of the study is to promote the iron oxide-based catalyst by replacement of the chromium oxide by </w:t>
      </w:r>
      <w:proofErr w:type="spellStart"/>
      <w:r w:rsidRPr="00FC4C66">
        <w:rPr>
          <w:rFonts w:ascii="STIXGeneral-Regular" w:eastAsia="Times New Roman" w:hAnsi="STIXGeneral-Regular" w:cs="Times New Roman"/>
          <w:color w:val="000000"/>
          <w:sz w:val="24"/>
          <w:szCs w:val="24"/>
        </w:rPr>
        <w:t>MgO</w:t>
      </w:r>
      <w:proofErr w:type="spellEnd"/>
      <w:r w:rsidRPr="00FC4C66">
        <w:rPr>
          <w:rFonts w:ascii="STIXGeneral-Regular" w:eastAsia="Times New Roman" w:hAnsi="STIXGeneral-Regular" w:cs="Times New Roman"/>
          <w:color w:val="000000"/>
          <w:sz w:val="24"/>
          <w:szCs w:val="24"/>
        </w:rPr>
        <w:t xml:space="preserve"> which can be apt to improve the catalytic activity of the intermediate active catalyst, in the occurrence Fe-Cr prepared via impregnation method (see Figure </w:t>
      </w:r>
      <w:hyperlink r:id="rId8" w:tgtFrame="_blank" w:history="1">
        <w:r w:rsidRPr="00FC4C66">
          <w:rPr>
            <w:rFonts w:ascii="STIXGeneral-Regular" w:eastAsia="Times New Roman" w:hAnsi="STIXGeneral-Regular" w:cs="Times New Roman"/>
            <w:color w:val="4D8A17"/>
            <w:sz w:val="24"/>
            <w:szCs w:val="24"/>
            <w:u w:val="single"/>
          </w:rPr>
          <w:t>1</w:t>
        </w:r>
      </w:hyperlink>
      <w:r w:rsidRPr="00FC4C66">
        <w:rPr>
          <w:rFonts w:ascii="STIXGeneral-Regular" w:eastAsia="Times New Roman" w:hAnsi="STIXGeneral-Regular" w:cs="Times New Roman"/>
          <w:color w:val="000000"/>
          <w:sz w:val="24"/>
          <w:szCs w:val="24"/>
        </w:rPr>
        <w:t>). Our intent here is for 5Fe-Mg, 10Fe-Mg, 20Fe-Mg, and 30Fe-Mg or 30Fe-Mg400, 30Fe-Mg300, and 30Fe-Mg200 catalysts. The WGS reaction results of Fe-Mg catalysts, expressed by the hydrogen production and the X-ray diffraction patterns of the magnesium promoted catalyst, are given in Figures </w:t>
      </w:r>
      <w:hyperlink r:id="rId9" w:tgtFrame="_blank" w:history="1">
        <w:r w:rsidRPr="00FC4C66">
          <w:rPr>
            <w:rFonts w:ascii="STIXGeneral-Regular" w:eastAsia="Times New Roman" w:hAnsi="STIXGeneral-Regular" w:cs="Times New Roman"/>
            <w:color w:val="4D8A17"/>
            <w:sz w:val="24"/>
            <w:szCs w:val="24"/>
            <w:u w:val="single"/>
          </w:rPr>
          <w:t>2</w:t>
        </w:r>
      </w:hyperlink>
      <w:r w:rsidRPr="00FC4C66">
        <w:rPr>
          <w:rFonts w:ascii="STIXGeneral-Regular" w:eastAsia="Times New Roman" w:hAnsi="STIXGeneral-Regular" w:cs="Times New Roman"/>
          <w:color w:val="000000"/>
          <w:sz w:val="24"/>
          <w:szCs w:val="24"/>
        </w:rPr>
        <w:t> and </w:t>
      </w:r>
      <w:hyperlink r:id="rId10" w:tgtFrame="_blank" w:history="1">
        <w:r w:rsidRPr="00FC4C66">
          <w:rPr>
            <w:rFonts w:ascii="STIXGeneral-Regular" w:eastAsia="Times New Roman" w:hAnsi="STIXGeneral-Regular" w:cs="Times New Roman"/>
            <w:color w:val="4D8A17"/>
            <w:sz w:val="24"/>
            <w:szCs w:val="24"/>
            <w:u w:val="single"/>
          </w:rPr>
          <w:t>3</w:t>
        </w:r>
      </w:hyperlink>
      <w:r w:rsidRPr="00FC4C66">
        <w:rPr>
          <w:rFonts w:ascii="STIXGeneral-Regular" w:eastAsia="Times New Roman" w:hAnsi="STIXGeneral-Regular" w:cs="Times New Roman"/>
          <w:color w:val="000000"/>
          <w:sz w:val="24"/>
          <w:szCs w:val="24"/>
        </w:rPr>
        <w:t>, respectively.</w:t>
      </w:r>
    </w:p>
    <w:p w:rsidR="00FC4C66" w:rsidRPr="00FC4C66" w:rsidRDefault="00FC4C66" w:rsidP="00FC4C66">
      <w:pPr>
        <w:spacing w:after="0" w:line="240" w:lineRule="auto"/>
        <w:jc w:val="center"/>
        <w:rPr>
          <w:rFonts w:ascii="STIXGeneral-Regular" w:eastAsia="Times New Roman" w:hAnsi="STIXGeneral-Regular" w:cs="Times New Roman"/>
          <w:color w:val="000000"/>
          <w:sz w:val="24"/>
          <w:szCs w:val="24"/>
        </w:rPr>
      </w:pPr>
      <w:r w:rsidRPr="00FC4C66">
        <w:rPr>
          <w:rFonts w:ascii="STIXGeneral-Regular" w:eastAsia="Times New Roman" w:hAnsi="STIXGeneral-Regular" w:cs="Times New Roman"/>
          <w:noProof/>
          <w:color w:val="000000"/>
          <w:sz w:val="24"/>
          <w:szCs w:val="24"/>
        </w:rPr>
        <w:lastRenderedPageBreak/>
        <w:drawing>
          <wp:inline distT="0" distB="0" distL="0" distR="0">
            <wp:extent cx="5715000" cy="5048250"/>
            <wp:effectExtent l="0" t="0" r="0" b="0"/>
            <wp:docPr id="2" name="Picture 2" descr="https://static-01.hindawi.com/articles/jcat/volume-2014/612575/figures/612575.fi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01.hindawi.com/articles/jcat/volume-2014/612575/figures/612575.fig.0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5048250"/>
                    </a:xfrm>
                    <a:prstGeom prst="rect">
                      <a:avLst/>
                    </a:prstGeom>
                    <a:noFill/>
                    <a:ln>
                      <a:noFill/>
                    </a:ln>
                  </pic:spPr>
                </pic:pic>
              </a:graphicData>
            </a:graphic>
          </wp:inline>
        </w:drawing>
      </w:r>
      <w:r w:rsidRPr="00FC4C66">
        <w:rPr>
          <w:rFonts w:ascii="STIXGeneral-Regular" w:eastAsia="Times New Roman" w:hAnsi="STIXGeneral-Regular" w:cs="Times New Roman"/>
          <w:color w:val="000000"/>
          <w:sz w:val="24"/>
          <w:szCs w:val="24"/>
        </w:rPr>
        <w:br/>
      </w:r>
    </w:p>
    <w:p w:rsidR="00FC4C66" w:rsidRPr="00FC4C66" w:rsidRDefault="00FC4C66" w:rsidP="00FC4C66">
      <w:pPr>
        <w:shd w:val="clear" w:color="auto" w:fill="E3E3E3"/>
        <w:spacing w:after="0" w:line="240" w:lineRule="auto"/>
        <w:jc w:val="both"/>
        <w:rPr>
          <w:rFonts w:ascii="STIXGeneral-Regular" w:eastAsia="Times New Roman" w:hAnsi="STIXGeneral-Regular" w:cs="Times New Roman"/>
          <w:color w:val="000000"/>
          <w:sz w:val="24"/>
          <w:szCs w:val="24"/>
        </w:rPr>
      </w:pPr>
      <w:r w:rsidRPr="00FC4C66">
        <w:rPr>
          <w:rFonts w:ascii="STIXGeneral-Regular" w:eastAsia="Times New Roman" w:hAnsi="STIXGeneral-Regular" w:cs="Times New Roman"/>
          <w:b/>
          <w:bCs/>
          <w:color w:val="000000"/>
          <w:sz w:val="24"/>
          <w:szCs w:val="24"/>
        </w:rPr>
        <w:t>Figure 2</w:t>
      </w:r>
      <w:hyperlink r:id="rId12" w:tgtFrame="_blank" w:tooltip="full view" w:history="1">
        <w:r w:rsidRPr="00FC4C66">
          <w:rPr>
            <w:rFonts w:ascii="STIXGeneral-Regular" w:eastAsia="Times New Roman" w:hAnsi="STIXGeneral-Regular" w:cs="Times New Roman"/>
            <w:color w:val="4D8A17"/>
            <w:sz w:val="24"/>
            <w:szCs w:val="24"/>
            <w:u w:val="single"/>
          </w:rPr>
          <w:t> </w:t>
        </w:r>
      </w:hyperlink>
    </w:p>
    <w:p w:rsidR="00FC4C66" w:rsidRPr="00FC4C66" w:rsidRDefault="00FC4C66" w:rsidP="00FC4C66">
      <w:pPr>
        <w:shd w:val="clear" w:color="auto" w:fill="E3E3E3"/>
        <w:spacing w:line="240" w:lineRule="auto"/>
        <w:jc w:val="both"/>
        <w:rPr>
          <w:rFonts w:ascii="STIXGeneral-Regular" w:eastAsia="Times New Roman" w:hAnsi="STIXGeneral-Regular" w:cs="Times New Roman"/>
          <w:color w:val="000000"/>
          <w:sz w:val="21"/>
          <w:szCs w:val="21"/>
        </w:rPr>
      </w:pPr>
      <w:r w:rsidRPr="00FC4C66">
        <w:rPr>
          <w:rFonts w:ascii="STIXGeneral-Regular" w:eastAsia="Times New Roman" w:hAnsi="STIXGeneral-Regular" w:cs="Times New Roman"/>
          <w:color w:val="000000"/>
          <w:sz w:val="21"/>
          <w:szCs w:val="21"/>
        </w:rPr>
        <w:t>Temperature dependence of the H</w:t>
      </w:r>
      <w:r w:rsidRPr="00FC4C66">
        <w:rPr>
          <w:rFonts w:ascii="STIXGeneral-Regular" w:eastAsia="Times New Roman" w:hAnsi="STIXGeneral-Regular" w:cs="Times New Roman"/>
          <w:color w:val="000000"/>
          <w:sz w:val="21"/>
          <w:szCs w:val="21"/>
          <w:vertAlign w:val="subscript"/>
        </w:rPr>
        <w:t>2</w:t>
      </w:r>
      <w:r w:rsidRPr="00FC4C66">
        <w:rPr>
          <w:rFonts w:ascii="STIXGeneral-Regular" w:eastAsia="Times New Roman" w:hAnsi="STIXGeneral-Regular" w:cs="Times New Roman"/>
          <w:color w:val="000000"/>
          <w:sz w:val="21"/>
          <w:szCs w:val="21"/>
        </w:rPr>
        <w:t> generation from WGS reaction of the samples: (</w:t>
      </w:r>
      <w:r w:rsidRPr="00FC4C66">
        <w:rPr>
          <w:rFonts w:ascii="Cambria Math" w:eastAsia="Times New Roman" w:hAnsi="Cambria Math" w:cs="Cambria Math"/>
          <w:i/>
          <w:iCs/>
          <w:color w:val="000000"/>
          <w:sz w:val="21"/>
          <w:szCs w:val="21"/>
        </w:rPr>
        <w:t>◆</w:t>
      </w:r>
      <w:r w:rsidRPr="00FC4C66">
        <w:rPr>
          <w:rFonts w:ascii="STIXGeneral-Regular" w:eastAsia="Times New Roman" w:hAnsi="STIXGeneral-Regular" w:cs="Times New Roman"/>
          <w:color w:val="000000"/>
          <w:sz w:val="21"/>
          <w:szCs w:val="21"/>
        </w:rPr>
        <w:t>) 5Fe-Mg, (■) 10Fe-Mg, (▲) 20Fe-Mg, and (x) 30Fe-Mg after a reduction treatment at 450°C during 60 min. Reactant gas mixture, H</w:t>
      </w:r>
      <w:r w:rsidRPr="00FC4C66">
        <w:rPr>
          <w:rFonts w:ascii="STIXGeneral-Regular" w:eastAsia="Times New Roman" w:hAnsi="STIXGeneral-Regular" w:cs="Times New Roman"/>
          <w:color w:val="000000"/>
          <w:sz w:val="21"/>
          <w:szCs w:val="21"/>
          <w:vertAlign w:val="subscript"/>
        </w:rPr>
        <w:t>2</w:t>
      </w:r>
      <w:r w:rsidRPr="00FC4C66">
        <w:rPr>
          <w:rFonts w:ascii="STIXGeneral-Regular" w:eastAsia="Times New Roman" w:hAnsi="STIXGeneral-Regular" w:cs="Times New Roman"/>
          <w:color w:val="000000"/>
          <w:sz w:val="21"/>
          <w:szCs w:val="21"/>
        </w:rPr>
        <w:t>O/CO = 4.4. Total flow-rate of 33 mL/min.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C4C66" w:rsidRPr="00FC4C66" w:rsidTr="00FC4C66">
        <w:trPr>
          <w:tblCellSpacing w:w="15" w:type="dxa"/>
        </w:trPr>
        <w:tc>
          <w:tcPr>
            <w:tcW w:w="0" w:type="auto"/>
            <w:vAlign w:val="center"/>
            <w:hideMark/>
          </w:tcPr>
          <w:p w:rsidR="00FC4C66" w:rsidRPr="00FC4C66" w:rsidRDefault="00FC4C66" w:rsidP="00FC4C66">
            <w:pPr>
              <w:shd w:val="clear" w:color="auto" w:fill="E3E3E3"/>
              <w:spacing w:after="0" w:line="240" w:lineRule="auto"/>
              <w:jc w:val="both"/>
              <w:rPr>
                <w:rFonts w:ascii="STIXGeneral-Regular" w:eastAsia="Times New Roman" w:hAnsi="STIXGeneral-Regular" w:cs="Times New Roman"/>
                <w:color w:val="000000"/>
                <w:sz w:val="21"/>
                <w:szCs w:val="21"/>
              </w:rPr>
            </w:pPr>
          </w:p>
        </w:tc>
      </w:tr>
    </w:tbl>
    <w:p w:rsidR="00FC4C66" w:rsidRPr="00FC4C66" w:rsidRDefault="00FC4C66" w:rsidP="00FC4C66">
      <w:pPr>
        <w:spacing w:after="0" w:line="240" w:lineRule="auto"/>
        <w:jc w:val="center"/>
        <w:rPr>
          <w:rFonts w:ascii="STIXGeneral-Regular" w:eastAsia="Times New Roman" w:hAnsi="STIXGeneral-Regular" w:cs="Times New Roman"/>
          <w:color w:val="000000"/>
          <w:sz w:val="24"/>
          <w:szCs w:val="24"/>
        </w:rPr>
      </w:pPr>
      <w:r w:rsidRPr="00FC4C66">
        <w:rPr>
          <w:rFonts w:ascii="STIXGeneral-Regular" w:eastAsia="Times New Roman" w:hAnsi="STIXGeneral-Regular" w:cs="Times New Roman"/>
          <w:noProof/>
          <w:color w:val="000000"/>
          <w:sz w:val="24"/>
          <w:szCs w:val="24"/>
        </w:rPr>
        <w:lastRenderedPageBreak/>
        <w:drawing>
          <wp:inline distT="0" distB="0" distL="0" distR="0">
            <wp:extent cx="5715000" cy="6343650"/>
            <wp:effectExtent l="0" t="0" r="0" b="0"/>
            <wp:docPr id="1" name="Picture 1" descr="https://static-01.hindawi.com/articles/jcat/volume-2014/612575/figures/612575.fig.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01.hindawi.com/articles/jcat/volume-2014/612575/figures/612575.fig.00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6343650"/>
                    </a:xfrm>
                    <a:prstGeom prst="rect">
                      <a:avLst/>
                    </a:prstGeom>
                    <a:noFill/>
                    <a:ln>
                      <a:noFill/>
                    </a:ln>
                  </pic:spPr>
                </pic:pic>
              </a:graphicData>
            </a:graphic>
          </wp:inline>
        </w:drawing>
      </w:r>
      <w:r w:rsidRPr="00FC4C66">
        <w:rPr>
          <w:rFonts w:ascii="STIXGeneral-Regular" w:eastAsia="Times New Roman" w:hAnsi="STIXGeneral-Regular" w:cs="Times New Roman"/>
          <w:color w:val="000000"/>
          <w:sz w:val="24"/>
          <w:szCs w:val="24"/>
        </w:rPr>
        <w:br/>
      </w:r>
    </w:p>
    <w:p w:rsidR="00FC4C66" w:rsidRPr="00FC4C66" w:rsidRDefault="00FC4C66" w:rsidP="00FC4C66">
      <w:pPr>
        <w:shd w:val="clear" w:color="auto" w:fill="E3E3E3"/>
        <w:spacing w:after="0" w:line="240" w:lineRule="auto"/>
        <w:jc w:val="both"/>
        <w:rPr>
          <w:rFonts w:ascii="STIXGeneral-Regular" w:eastAsia="Times New Roman" w:hAnsi="STIXGeneral-Regular" w:cs="Times New Roman"/>
          <w:color w:val="000000"/>
          <w:sz w:val="24"/>
          <w:szCs w:val="24"/>
        </w:rPr>
      </w:pPr>
      <w:r w:rsidRPr="00FC4C66">
        <w:rPr>
          <w:rFonts w:ascii="STIXGeneral-Regular" w:eastAsia="Times New Roman" w:hAnsi="STIXGeneral-Regular" w:cs="Times New Roman"/>
          <w:b/>
          <w:bCs/>
          <w:color w:val="000000"/>
          <w:sz w:val="24"/>
          <w:szCs w:val="24"/>
        </w:rPr>
        <w:t>Figure 3</w:t>
      </w:r>
      <w:hyperlink r:id="rId14" w:tgtFrame="_blank" w:tooltip="full view" w:history="1">
        <w:r w:rsidRPr="00FC4C66">
          <w:rPr>
            <w:rFonts w:ascii="STIXGeneral-Regular" w:eastAsia="Times New Roman" w:hAnsi="STIXGeneral-Regular" w:cs="Times New Roman"/>
            <w:color w:val="4D8A17"/>
            <w:sz w:val="24"/>
            <w:szCs w:val="24"/>
            <w:u w:val="single"/>
          </w:rPr>
          <w:t> </w:t>
        </w:r>
      </w:hyperlink>
    </w:p>
    <w:p w:rsidR="00FC4C66" w:rsidRPr="00FC4C66" w:rsidRDefault="00FC4C66" w:rsidP="00FC4C66">
      <w:pPr>
        <w:shd w:val="clear" w:color="auto" w:fill="E3E3E3"/>
        <w:spacing w:line="240" w:lineRule="auto"/>
        <w:jc w:val="both"/>
        <w:rPr>
          <w:rFonts w:ascii="STIXGeneral-Regular" w:eastAsia="Times New Roman" w:hAnsi="STIXGeneral-Regular" w:cs="Times New Roman"/>
          <w:color w:val="000000"/>
          <w:sz w:val="21"/>
          <w:szCs w:val="21"/>
        </w:rPr>
      </w:pPr>
      <w:r w:rsidRPr="00FC4C66">
        <w:rPr>
          <w:rFonts w:ascii="STIXGeneral-Regular" w:eastAsia="Times New Roman" w:hAnsi="STIXGeneral-Regular" w:cs="Times New Roman"/>
          <w:color w:val="000000"/>
          <w:sz w:val="21"/>
          <w:szCs w:val="21"/>
        </w:rPr>
        <w:t>X-ray diffraction patterns of the magnesium promoted Fe-Mg catalysts. (a) 5Fe-Mg, (b) 10Fe-Mg, (c) 20Fe-Mg, (d) 30Fe-Mg400, (e) 30Fe-Mg300, (f) 30Fe-Mg200, and (g) Fe-only.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C4C66" w:rsidRPr="00FC4C66" w:rsidTr="00FC4C66">
        <w:trPr>
          <w:tblCellSpacing w:w="15" w:type="dxa"/>
        </w:trPr>
        <w:tc>
          <w:tcPr>
            <w:tcW w:w="0" w:type="auto"/>
            <w:vAlign w:val="center"/>
            <w:hideMark/>
          </w:tcPr>
          <w:p w:rsidR="00FC4C66" w:rsidRPr="00FC4C66" w:rsidRDefault="00FC4C66" w:rsidP="00FC4C66">
            <w:pPr>
              <w:shd w:val="clear" w:color="auto" w:fill="E3E3E3"/>
              <w:spacing w:after="0" w:line="240" w:lineRule="auto"/>
              <w:jc w:val="both"/>
              <w:rPr>
                <w:rFonts w:ascii="STIXGeneral-Regular" w:eastAsia="Times New Roman" w:hAnsi="STIXGeneral-Regular" w:cs="Times New Roman"/>
                <w:color w:val="000000"/>
                <w:sz w:val="21"/>
                <w:szCs w:val="21"/>
              </w:rPr>
            </w:pPr>
          </w:p>
        </w:tc>
      </w:tr>
    </w:tbl>
    <w:p w:rsidR="00FC4C66" w:rsidRPr="00FC4C66" w:rsidRDefault="00FC4C66" w:rsidP="00FC4C66">
      <w:pPr>
        <w:spacing w:before="180" w:after="180" w:line="300" w:lineRule="atLeast"/>
        <w:jc w:val="both"/>
        <w:rPr>
          <w:rFonts w:ascii="STIXGeneral-Regular" w:eastAsia="Times New Roman" w:hAnsi="STIXGeneral-Regular" w:cs="Times New Roman"/>
          <w:color w:val="000000"/>
          <w:sz w:val="24"/>
          <w:szCs w:val="24"/>
        </w:rPr>
      </w:pPr>
      <w:r w:rsidRPr="00FC4C66">
        <w:rPr>
          <w:rFonts w:ascii="STIXGeneral-Regular" w:eastAsia="Times New Roman" w:hAnsi="STIXGeneral-Regular" w:cs="Times New Roman"/>
          <w:color w:val="000000"/>
          <w:sz w:val="24"/>
          <w:szCs w:val="24"/>
        </w:rPr>
        <w:t>Figure </w:t>
      </w:r>
      <w:hyperlink r:id="rId15" w:tgtFrame="_blank" w:history="1">
        <w:r w:rsidRPr="00FC4C66">
          <w:rPr>
            <w:rFonts w:ascii="STIXGeneral-Regular" w:eastAsia="Times New Roman" w:hAnsi="STIXGeneral-Regular" w:cs="Times New Roman"/>
            <w:color w:val="4D8A17"/>
            <w:sz w:val="24"/>
            <w:szCs w:val="24"/>
            <w:u w:val="single"/>
          </w:rPr>
          <w:t>2</w:t>
        </w:r>
      </w:hyperlink>
      <w:r w:rsidRPr="00FC4C66">
        <w:rPr>
          <w:rFonts w:ascii="STIXGeneral-Regular" w:eastAsia="Times New Roman" w:hAnsi="STIXGeneral-Regular" w:cs="Times New Roman"/>
          <w:color w:val="000000"/>
          <w:sz w:val="24"/>
          <w:szCs w:val="24"/>
        </w:rPr>
        <w:t xml:space="preserve"> shows the effect of magnesium additives to iron oxide-based catalysts on the hydrogen </w:t>
      </w:r>
      <w:proofErr w:type="gramStart"/>
      <w:r w:rsidRPr="00FC4C66">
        <w:rPr>
          <w:rFonts w:ascii="STIXGeneral-Regular" w:eastAsia="Times New Roman" w:hAnsi="STIXGeneral-Regular" w:cs="Times New Roman"/>
          <w:color w:val="000000"/>
          <w:sz w:val="24"/>
          <w:szCs w:val="24"/>
        </w:rPr>
        <w:t>production</w:t>
      </w:r>
      <w:proofErr w:type="gramEnd"/>
      <w:r w:rsidRPr="00FC4C66">
        <w:rPr>
          <w:rFonts w:ascii="STIXGeneral-Regular" w:eastAsia="Times New Roman" w:hAnsi="STIXGeneral-Regular" w:cs="Times New Roman"/>
          <w:color w:val="000000"/>
          <w:sz w:val="24"/>
          <w:szCs w:val="24"/>
        </w:rPr>
        <w:t xml:space="preserve"> via the WGS reaction at the temperature range 350–450°C. The quantity of hydrogen produced increases significantly with the increase of iron oxide content in the following order 5Fe-Mg &lt; 10Fe-Mg &lt; 20Fe-Mg &lt; 30Fe-Mg. The H</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 xml:space="preserve"> production is also found to increase with the rise </w:t>
      </w:r>
      <w:r w:rsidRPr="00FC4C66">
        <w:rPr>
          <w:rFonts w:ascii="STIXGeneral-Regular" w:eastAsia="Times New Roman" w:hAnsi="STIXGeneral-Regular" w:cs="Times New Roman"/>
          <w:color w:val="000000"/>
          <w:sz w:val="24"/>
          <w:szCs w:val="24"/>
        </w:rPr>
        <w:lastRenderedPageBreak/>
        <w:t>of reaction temperature. We have reported in previous works [3, 15] that the sample 30Fe-Mg produced a spinel oxide phase of type MgFe</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O</w:t>
      </w:r>
      <w:r w:rsidRPr="00FC4C66">
        <w:rPr>
          <w:rFonts w:ascii="STIXGeneral-Regular" w:eastAsia="Times New Roman" w:hAnsi="STIXGeneral-Regular" w:cs="Times New Roman"/>
          <w:color w:val="000000"/>
          <w:sz w:val="24"/>
          <w:szCs w:val="24"/>
          <w:vertAlign w:val="subscript"/>
        </w:rPr>
        <w:t>4</w:t>
      </w:r>
      <w:r w:rsidRPr="00FC4C66">
        <w:rPr>
          <w:rFonts w:ascii="STIXGeneral-Regular" w:eastAsia="Times New Roman" w:hAnsi="STIXGeneral-Regular" w:cs="Times New Roman"/>
          <w:color w:val="000000"/>
          <w:sz w:val="24"/>
          <w:szCs w:val="24"/>
        </w:rPr>
        <w:t xml:space="preserve"> together with a predominant </w:t>
      </w:r>
      <w:proofErr w:type="spellStart"/>
      <w:r w:rsidRPr="00FC4C66">
        <w:rPr>
          <w:rFonts w:ascii="STIXGeneral-Regular" w:eastAsia="Times New Roman" w:hAnsi="STIXGeneral-Regular" w:cs="Times New Roman"/>
          <w:color w:val="000000"/>
          <w:sz w:val="24"/>
          <w:szCs w:val="24"/>
        </w:rPr>
        <w:t>MgO</w:t>
      </w:r>
      <w:proofErr w:type="spellEnd"/>
      <w:r w:rsidRPr="00FC4C66">
        <w:rPr>
          <w:rFonts w:ascii="STIXGeneral-Regular" w:eastAsia="Times New Roman" w:hAnsi="STIXGeneral-Regular" w:cs="Times New Roman"/>
          <w:color w:val="000000"/>
          <w:sz w:val="24"/>
          <w:szCs w:val="24"/>
        </w:rPr>
        <w:t xml:space="preserve"> phase at a temperature of calcination of 400°C and presented excellent performance in the WGS reaction. Furthermore, we projected that a decrease in calcination temperature from 400 to 200°C would not produce the spinel oxide.</w:t>
      </w:r>
    </w:p>
    <w:p w:rsidR="00FC4C66" w:rsidRPr="00FC4C66" w:rsidRDefault="00FC4C66" w:rsidP="00FC4C66">
      <w:pPr>
        <w:spacing w:before="180" w:after="180" w:line="300" w:lineRule="atLeast"/>
        <w:jc w:val="both"/>
        <w:rPr>
          <w:rFonts w:ascii="STIXGeneral-Regular" w:eastAsia="Times New Roman" w:hAnsi="STIXGeneral-Regular" w:cs="Times New Roman"/>
          <w:color w:val="000000"/>
          <w:sz w:val="24"/>
          <w:szCs w:val="24"/>
        </w:rPr>
      </w:pPr>
      <w:r w:rsidRPr="00FC4C66">
        <w:rPr>
          <w:rFonts w:ascii="STIXGeneral-Regular" w:eastAsia="Times New Roman" w:hAnsi="STIXGeneral-Regular" w:cs="Times New Roman"/>
          <w:color w:val="000000"/>
          <w:sz w:val="24"/>
          <w:szCs w:val="24"/>
        </w:rPr>
        <w:t xml:space="preserve">The X-ray </w:t>
      </w:r>
      <w:proofErr w:type="spellStart"/>
      <w:r w:rsidRPr="00FC4C66">
        <w:rPr>
          <w:rFonts w:ascii="STIXGeneral-Regular" w:eastAsia="Times New Roman" w:hAnsi="STIXGeneral-Regular" w:cs="Times New Roman"/>
          <w:color w:val="000000"/>
          <w:sz w:val="24"/>
          <w:szCs w:val="24"/>
        </w:rPr>
        <w:t>diffractograms</w:t>
      </w:r>
      <w:proofErr w:type="spellEnd"/>
      <w:r w:rsidRPr="00FC4C66">
        <w:rPr>
          <w:rFonts w:ascii="STIXGeneral-Regular" w:eastAsia="Times New Roman" w:hAnsi="STIXGeneral-Regular" w:cs="Times New Roman"/>
          <w:color w:val="000000"/>
          <w:sz w:val="24"/>
          <w:szCs w:val="24"/>
        </w:rPr>
        <w:t xml:space="preserve"> of pure and Fe-supported 5–30 </w:t>
      </w:r>
      <w:proofErr w:type="spellStart"/>
      <w:r w:rsidRPr="00FC4C66">
        <w:rPr>
          <w:rFonts w:ascii="STIXGeneral-Regular" w:eastAsia="Times New Roman" w:hAnsi="STIXGeneral-Regular" w:cs="Times New Roman"/>
          <w:color w:val="000000"/>
          <w:sz w:val="24"/>
          <w:szCs w:val="24"/>
        </w:rPr>
        <w:t>wt</w:t>
      </w:r>
      <w:proofErr w:type="spellEnd"/>
      <w:r w:rsidRPr="00FC4C66">
        <w:rPr>
          <w:rFonts w:ascii="STIXGeneral-Regular" w:eastAsia="Times New Roman" w:hAnsi="STIXGeneral-Regular" w:cs="Times New Roman"/>
          <w:color w:val="000000"/>
          <w:sz w:val="24"/>
          <w:szCs w:val="24"/>
        </w:rPr>
        <w:t xml:space="preserve">% Fe-Mg solids </w:t>
      </w:r>
      <w:proofErr w:type="spellStart"/>
      <w:r w:rsidRPr="00FC4C66">
        <w:rPr>
          <w:rFonts w:ascii="STIXGeneral-Regular" w:eastAsia="Times New Roman" w:hAnsi="STIXGeneral-Regular" w:cs="Times New Roman"/>
          <w:color w:val="000000"/>
          <w:sz w:val="24"/>
          <w:szCs w:val="24"/>
        </w:rPr>
        <w:t>calcined</w:t>
      </w:r>
      <w:proofErr w:type="spellEnd"/>
      <w:r w:rsidRPr="00FC4C66">
        <w:rPr>
          <w:rFonts w:ascii="STIXGeneral-Regular" w:eastAsia="Times New Roman" w:hAnsi="STIXGeneral-Regular" w:cs="Times New Roman"/>
          <w:color w:val="000000"/>
          <w:sz w:val="24"/>
          <w:szCs w:val="24"/>
        </w:rPr>
        <w:t xml:space="preserve"> at 400°C and 30 </w:t>
      </w:r>
      <w:proofErr w:type="spellStart"/>
      <w:r w:rsidRPr="00FC4C66">
        <w:rPr>
          <w:rFonts w:ascii="STIXGeneral-Regular" w:eastAsia="Times New Roman" w:hAnsi="STIXGeneral-Regular" w:cs="Times New Roman"/>
          <w:color w:val="000000"/>
          <w:sz w:val="24"/>
          <w:szCs w:val="24"/>
        </w:rPr>
        <w:t>wt</w:t>
      </w:r>
      <w:proofErr w:type="spellEnd"/>
      <w:r w:rsidRPr="00FC4C66">
        <w:rPr>
          <w:rFonts w:ascii="STIXGeneral-Regular" w:eastAsia="Times New Roman" w:hAnsi="STIXGeneral-Regular" w:cs="Times New Roman"/>
          <w:color w:val="000000"/>
          <w:sz w:val="24"/>
          <w:szCs w:val="24"/>
        </w:rPr>
        <w:t xml:space="preserve">% Fe-Mg </w:t>
      </w:r>
      <w:proofErr w:type="spellStart"/>
      <w:r w:rsidRPr="00FC4C66">
        <w:rPr>
          <w:rFonts w:ascii="STIXGeneral-Regular" w:eastAsia="Times New Roman" w:hAnsi="STIXGeneral-Regular" w:cs="Times New Roman"/>
          <w:color w:val="000000"/>
          <w:sz w:val="24"/>
          <w:szCs w:val="24"/>
        </w:rPr>
        <w:t>calcined</w:t>
      </w:r>
      <w:proofErr w:type="spellEnd"/>
      <w:r w:rsidRPr="00FC4C66">
        <w:rPr>
          <w:rFonts w:ascii="STIXGeneral-Regular" w:eastAsia="Times New Roman" w:hAnsi="STIXGeneral-Regular" w:cs="Times New Roman"/>
          <w:color w:val="000000"/>
          <w:sz w:val="24"/>
          <w:szCs w:val="24"/>
        </w:rPr>
        <w:t xml:space="preserve"> at 200, 300, and 400°C were studied and illustrated by Figure </w:t>
      </w:r>
      <w:hyperlink r:id="rId16" w:tgtFrame="_blank" w:history="1">
        <w:r w:rsidRPr="00FC4C66">
          <w:rPr>
            <w:rFonts w:ascii="STIXGeneral-Regular" w:eastAsia="Times New Roman" w:hAnsi="STIXGeneral-Regular" w:cs="Times New Roman"/>
            <w:color w:val="4D8A17"/>
            <w:sz w:val="24"/>
            <w:szCs w:val="24"/>
            <w:u w:val="single"/>
          </w:rPr>
          <w:t>3</w:t>
        </w:r>
      </w:hyperlink>
      <w:r w:rsidRPr="00FC4C66">
        <w:rPr>
          <w:rFonts w:ascii="STIXGeneral-Regular" w:eastAsia="Times New Roman" w:hAnsi="STIXGeneral-Regular" w:cs="Times New Roman"/>
          <w:color w:val="000000"/>
          <w:sz w:val="24"/>
          <w:szCs w:val="24"/>
        </w:rPr>
        <w:t>. The analysis of XRD patterns reveals that the Fe</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O</w:t>
      </w:r>
      <w:r w:rsidRPr="00FC4C66">
        <w:rPr>
          <w:rFonts w:ascii="STIXGeneral-Regular" w:eastAsia="Times New Roman" w:hAnsi="STIXGeneral-Regular" w:cs="Times New Roman"/>
          <w:color w:val="000000"/>
          <w:sz w:val="24"/>
          <w:szCs w:val="24"/>
          <w:vertAlign w:val="subscript"/>
        </w:rPr>
        <w:t>3</w:t>
      </w:r>
      <w:r w:rsidRPr="00FC4C66">
        <w:rPr>
          <w:rFonts w:ascii="STIXGeneral-Regular" w:eastAsia="Times New Roman" w:hAnsi="STIXGeneral-Regular" w:cs="Times New Roman"/>
          <w:color w:val="000000"/>
          <w:sz w:val="24"/>
          <w:szCs w:val="24"/>
        </w:rPr>
        <w:t> crystalline phase was detected in the unsupported solid. Iron oxide did not appear on the Fe-supported solids. By looking at 5–30 </w:t>
      </w:r>
      <w:proofErr w:type="spellStart"/>
      <w:r w:rsidRPr="00FC4C66">
        <w:rPr>
          <w:rFonts w:ascii="STIXGeneral-Regular" w:eastAsia="Times New Roman" w:hAnsi="STIXGeneral-Regular" w:cs="Times New Roman"/>
          <w:color w:val="000000"/>
          <w:sz w:val="24"/>
          <w:szCs w:val="24"/>
        </w:rPr>
        <w:t>wt</w:t>
      </w:r>
      <w:proofErr w:type="spellEnd"/>
      <w:r w:rsidRPr="00FC4C66">
        <w:rPr>
          <w:rFonts w:ascii="STIXGeneral-Regular" w:eastAsia="Times New Roman" w:hAnsi="STIXGeneral-Regular" w:cs="Times New Roman"/>
          <w:color w:val="000000"/>
          <w:sz w:val="24"/>
          <w:szCs w:val="24"/>
        </w:rPr>
        <w:t xml:space="preserve">% Fe-Mg spectra, it appears clearly that the intensity of the principal ray assigned to the </w:t>
      </w:r>
      <w:proofErr w:type="spellStart"/>
      <w:r w:rsidRPr="00FC4C66">
        <w:rPr>
          <w:rFonts w:ascii="STIXGeneral-Regular" w:eastAsia="Times New Roman" w:hAnsi="STIXGeneral-Regular" w:cs="Times New Roman"/>
          <w:color w:val="000000"/>
          <w:sz w:val="24"/>
          <w:szCs w:val="24"/>
        </w:rPr>
        <w:t>MgO</w:t>
      </w:r>
      <w:proofErr w:type="spellEnd"/>
      <w:r w:rsidRPr="00FC4C66">
        <w:rPr>
          <w:rFonts w:ascii="STIXGeneral-Regular" w:eastAsia="Times New Roman" w:hAnsi="STIXGeneral-Regular" w:cs="Times New Roman"/>
          <w:color w:val="000000"/>
          <w:sz w:val="24"/>
          <w:szCs w:val="24"/>
        </w:rPr>
        <w:t xml:space="preserve"> crystalline phase decreases progressively when the iron oxide charge increases by 5 to 30 </w:t>
      </w:r>
      <w:proofErr w:type="spellStart"/>
      <w:r w:rsidRPr="00FC4C66">
        <w:rPr>
          <w:rFonts w:ascii="STIXGeneral-Regular" w:eastAsia="Times New Roman" w:hAnsi="STIXGeneral-Regular" w:cs="Times New Roman"/>
          <w:color w:val="000000"/>
          <w:sz w:val="24"/>
          <w:szCs w:val="24"/>
        </w:rPr>
        <w:t>wt</w:t>
      </w:r>
      <w:proofErr w:type="spellEnd"/>
      <w:r w:rsidRPr="00FC4C66">
        <w:rPr>
          <w:rFonts w:ascii="STIXGeneral-Regular" w:eastAsia="Times New Roman" w:hAnsi="STIXGeneral-Regular" w:cs="Times New Roman"/>
          <w:color w:val="000000"/>
          <w:sz w:val="24"/>
          <w:szCs w:val="24"/>
        </w:rPr>
        <w:t>%. At a charge of 30 </w:t>
      </w:r>
      <w:proofErr w:type="spellStart"/>
      <w:r w:rsidRPr="00FC4C66">
        <w:rPr>
          <w:rFonts w:ascii="STIXGeneral-Regular" w:eastAsia="Times New Roman" w:hAnsi="STIXGeneral-Regular" w:cs="Times New Roman"/>
          <w:color w:val="000000"/>
          <w:sz w:val="24"/>
          <w:szCs w:val="24"/>
        </w:rPr>
        <w:t>wt</w:t>
      </w:r>
      <w:proofErr w:type="spellEnd"/>
      <w:r w:rsidRPr="00FC4C66">
        <w:rPr>
          <w:rFonts w:ascii="STIXGeneral-Regular" w:eastAsia="Times New Roman" w:hAnsi="STIXGeneral-Regular" w:cs="Times New Roman"/>
          <w:color w:val="000000"/>
          <w:sz w:val="24"/>
          <w:szCs w:val="24"/>
        </w:rPr>
        <w:t>% Fe</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O</w:t>
      </w:r>
      <w:r w:rsidRPr="00FC4C66">
        <w:rPr>
          <w:rFonts w:ascii="STIXGeneral-Regular" w:eastAsia="Times New Roman" w:hAnsi="STIXGeneral-Regular" w:cs="Times New Roman"/>
          <w:color w:val="000000"/>
          <w:sz w:val="24"/>
          <w:szCs w:val="24"/>
          <w:vertAlign w:val="subscript"/>
        </w:rPr>
        <w:t>3</w:t>
      </w:r>
      <w:r w:rsidRPr="00FC4C66">
        <w:rPr>
          <w:rFonts w:ascii="STIXGeneral-Regular" w:eastAsia="Times New Roman" w:hAnsi="STIXGeneral-Regular" w:cs="Times New Roman"/>
          <w:color w:val="000000"/>
          <w:sz w:val="24"/>
          <w:szCs w:val="24"/>
        </w:rPr>
        <w:t xml:space="preserve"> (spectrum d), the crystalline fraction of </w:t>
      </w:r>
      <w:proofErr w:type="spellStart"/>
      <w:r w:rsidRPr="00FC4C66">
        <w:rPr>
          <w:rFonts w:ascii="STIXGeneral-Regular" w:eastAsia="Times New Roman" w:hAnsi="STIXGeneral-Regular" w:cs="Times New Roman"/>
          <w:color w:val="000000"/>
          <w:sz w:val="24"/>
          <w:szCs w:val="24"/>
        </w:rPr>
        <w:t>MgO</w:t>
      </w:r>
      <w:proofErr w:type="spellEnd"/>
      <w:r w:rsidRPr="00FC4C66">
        <w:rPr>
          <w:rFonts w:ascii="STIXGeneral-Regular" w:eastAsia="Times New Roman" w:hAnsi="STIXGeneral-Regular" w:cs="Times New Roman"/>
          <w:color w:val="000000"/>
          <w:sz w:val="24"/>
          <w:szCs w:val="24"/>
        </w:rPr>
        <w:t xml:space="preserve"> is ostensibly changed by the formation of MgFe</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O</w:t>
      </w:r>
      <w:r w:rsidRPr="00FC4C66">
        <w:rPr>
          <w:rFonts w:ascii="STIXGeneral-Regular" w:eastAsia="Times New Roman" w:hAnsi="STIXGeneral-Regular" w:cs="Times New Roman"/>
          <w:color w:val="000000"/>
          <w:sz w:val="24"/>
          <w:szCs w:val="24"/>
          <w:vertAlign w:val="subscript"/>
        </w:rPr>
        <w:t>4</w:t>
      </w:r>
      <w:r w:rsidRPr="00FC4C66">
        <w:rPr>
          <w:rFonts w:ascii="STIXGeneral-Regular" w:eastAsia="Times New Roman" w:hAnsi="STIXGeneral-Regular" w:cs="Times New Roman"/>
          <w:color w:val="000000"/>
          <w:sz w:val="24"/>
          <w:szCs w:val="24"/>
        </w:rPr>
        <w:t xml:space="preserve"> spinel phase [16]. For 30Fe-Mg300 and 30Fe-Mg200 solids a minor </w:t>
      </w:r>
      <w:proofErr w:type="spellStart"/>
      <w:r w:rsidRPr="00FC4C66">
        <w:rPr>
          <w:rFonts w:ascii="STIXGeneral-Regular" w:eastAsia="Times New Roman" w:hAnsi="STIXGeneral-Regular" w:cs="Times New Roman"/>
          <w:color w:val="000000"/>
          <w:sz w:val="24"/>
          <w:szCs w:val="24"/>
        </w:rPr>
        <w:t>MgO</w:t>
      </w:r>
      <w:proofErr w:type="spellEnd"/>
      <w:r w:rsidRPr="00FC4C66">
        <w:rPr>
          <w:rFonts w:ascii="STIXGeneral-Regular" w:eastAsia="Times New Roman" w:hAnsi="STIXGeneral-Regular" w:cs="Times New Roman"/>
          <w:color w:val="000000"/>
          <w:sz w:val="24"/>
          <w:szCs w:val="24"/>
        </w:rPr>
        <w:t xml:space="preserve"> phase was observed together with the predominant </w:t>
      </w:r>
      <w:proofErr w:type="gramStart"/>
      <w:r w:rsidRPr="00FC4C66">
        <w:rPr>
          <w:rFonts w:ascii="STIXGeneral-Regular" w:eastAsia="Times New Roman" w:hAnsi="STIXGeneral-Regular" w:cs="Times New Roman"/>
          <w:color w:val="000000"/>
          <w:sz w:val="24"/>
          <w:szCs w:val="24"/>
        </w:rPr>
        <w:t>Mg(</w:t>
      </w:r>
      <w:proofErr w:type="gramEnd"/>
      <w:r w:rsidRPr="00FC4C66">
        <w:rPr>
          <w:rFonts w:ascii="STIXGeneral-Regular" w:eastAsia="Times New Roman" w:hAnsi="STIXGeneral-Regular" w:cs="Times New Roman"/>
          <w:color w:val="000000"/>
          <w:sz w:val="24"/>
          <w:szCs w:val="24"/>
        </w:rPr>
        <w:t>OH)</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 phase.</w:t>
      </w:r>
    </w:p>
    <w:p w:rsidR="00FC4C66" w:rsidRPr="00FC4C66" w:rsidRDefault="00FC4C66" w:rsidP="00FC4C66">
      <w:pPr>
        <w:spacing w:before="330" w:after="330" w:line="240" w:lineRule="auto"/>
        <w:jc w:val="both"/>
        <w:outlineLvl w:val="4"/>
        <w:rPr>
          <w:rFonts w:ascii="Arial" w:eastAsia="Times New Roman" w:hAnsi="Arial" w:cs="Arial"/>
          <w:b/>
          <w:bCs/>
          <w:color w:val="000000"/>
          <w:sz w:val="24"/>
          <w:szCs w:val="24"/>
        </w:rPr>
      </w:pPr>
      <w:r w:rsidRPr="00FC4C66">
        <w:rPr>
          <w:rFonts w:ascii="Arial" w:eastAsia="Times New Roman" w:hAnsi="Arial" w:cs="Arial"/>
          <w:b/>
          <w:bCs/>
          <w:color w:val="000000"/>
          <w:sz w:val="24"/>
          <w:szCs w:val="24"/>
        </w:rPr>
        <w:t>3.3. Fe-Supported Systems</w:t>
      </w:r>
    </w:p>
    <w:p w:rsidR="00FC4C66" w:rsidRPr="00FC4C66" w:rsidRDefault="00FC4C66" w:rsidP="00FC4C66">
      <w:pPr>
        <w:spacing w:before="180" w:after="180" w:line="300" w:lineRule="atLeast"/>
        <w:jc w:val="both"/>
        <w:rPr>
          <w:rFonts w:ascii="STIXGeneral-Regular" w:eastAsia="Times New Roman" w:hAnsi="STIXGeneral-Regular" w:cs="Times New Roman"/>
          <w:color w:val="000000"/>
          <w:sz w:val="24"/>
          <w:szCs w:val="24"/>
        </w:rPr>
      </w:pPr>
      <w:r w:rsidRPr="00FC4C66">
        <w:rPr>
          <w:rFonts w:ascii="STIXGeneral-Regular" w:eastAsia="Times New Roman" w:hAnsi="STIXGeneral-Regular" w:cs="Times New Roman"/>
          <w:color w:val="000000"/>
          <w:sz w:val="24"/>
          <w:szCs w:val="24"/>
        </w:rPr>
        <w:t xml:space="preserve">By choosing </w:t>
      </w:r>
      <w:proofErr w:type="spellStart"/>
      <w:r w:rsidRPr="00FC4C66">
        <w:rPr>
          <w:rFonts w:ascii="STIXGeneral-Regular" w:eastAsia="Times New Roman" w:hAnsi="STIXGeneral-Regular" w:cs="Times New Roman"/>
          <w:color w:val="000000"/>
          <w:sz w:val="24"/>
          <w:szCs w:val="24"/>
        </w:rPr>
        <w:t>MgO</w:t>
      </w:r>
      <w:proofErr w:type="spellEnd"/>
      <w:r w:rsidRPr="00FC4C66">
        <w:rPr>
          <w:rFonts w:ascii="STIXGeneral-Regular" w:eastAsia="Times New Roman" w:hAnsi="STIXGeneral-Regular" w:cs="Times New Roman"/>
          <w:color w:val="000000"/>
          <w:sz w:val="24"/>
          <w:szCs w:val="24"/>
        </w:rPr>
        <w:t>, TiO</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 and SiO</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 xml:space="preserve"> to support iron oxide in this section, it was expected that the large variety of acid-base strengths of </w:t>
      </w:r>
      <w:proofErr w:type="spellStart"/>
      <w:r w:rsidRPr="00FC4C66">
        <w:rPr>
          <w:rFonts w:ascii="STIXGeneral-Regular" w:eastAsia="Times New Roman" w:hAnsi="STIXGeneral-Regular" w:cs="Times New Roman"/>
          <w:color w:val="000000"/>
          <w:sz w:val="24"/>
          <w:szCs w:val="24"/>
        </w:rPr>
        <w:t>MgO</w:t>
      </w:r>
      <w:proofErr w:type="spellEnd"/>
      <w:r w:rsidRPr="00FC4C66">
        <w:rPr>
          <w:rFonts w:ascii="STIXGeneral-Regular" w:eastAsia="Times New Roman" w:hAnsi="STIXGeneral-Regular" w:cs="Times New Roman"/>
          <w:color w:val="000000"/>
          <w:sz w:val="24"/>
          <w:szCs w:val="24"/>
        </w:rPr>
        <w:t xml:space="preserve"> (basic support), TiO</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 (</w:t>
      </w:r>
      <w:proofErr w:type="spellStart"/>
      <w:r w:rsidRPr="00FC4C66">
        <w:rPr>
          <w:rFonts w:ascii="STIXGeneral-Regular" w:eastAsia="Times New Roman" w:hAnsi="STIXGeneral-Regular" w:cs="Times New Roman"/>
          <w:color w:val="000000"/>
          <w:sz w:val="24"/>
          <w:szCs w:val="24"/>
        </w:rPr>
        <w:t>amphiprotic</w:t>
      </w:r>
      <w:proofErr w:type="spellEnd"/>
      <w:r w:rsidRPr="00FC4C66">
        <w:rPr>
          <w:rFonts w:ascii="STIXGeneral-Regular" w:eastAsia="Times New Roman" w:hAnsi="STIXGeneral-Regular" w:cs="Times New Roman"/>
          <w:color w:val="000000"/>
          <w:sz w:val="24"/>
          <w:szCs w:val="24"/>
        </w:rPr>
        <w:t xml:space="preserve"> support), or SiO</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 xml:space="preserve"> (acidic support) important in determining catalytic activity could be realized. In a previous work [12], we have shown that the most active system is the catalyst containing </w:t>
      </w:r>
      <w:proofErr w:type="spellStart"/>
      <w:r w:rsidRPr="00FC4C66">
        <w:rPr>
          <w:rFonts w:ascii="STIXGeneral-Regular" w:eastAsia="Times New Roman" w:hAnsi="STIXGeneral-Regular" w:cs="Times New Roman"/>
          <w:color w:val="000000"/>
          <w:sz w:val="24"/>
          <w:szCs w:val="24"/>
        </w:rPr>
        <w:t>MgO</w:t>
      </w:r>
      <w:proofErr w:type="spellEnd"/>
      <w:r w:rsidRPr="00FC4C66">
        <w:rPr>
          <w:rFonts w:ascii="STIXGeneral-Regular" w:eastAsia="Times New Roman" w:hAnsi="STIXGeneral-Regular" w:cs="Times New Roman"/>
          <w:color w:val="000000"/>
          <w:sz w:val="24"/>
          <w:szCs w:val="24"/>
        </w:rPr>
        <w:t xml:space="preserve"> as a support. Fe</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O</w:t>
      </w:r>
      <w:r w:rsidRPr="00FC4C66">
        <w:rPr>
          <w:rFonts w:ascii="STIXGeneral-Regular" w:eastAsia="Times New Roman" w:hAnsi="STIXGeneral-Regular" w:cs="Times New Roman"/>
          <w:color w:val="000000"/>
          <w:sz w:val="24"/>
          <w:szCs w:val="24"/>
          <w:vertAlign w:val="subscript"/>
        </w:rPr>
        <w:t>3</w:t>
      </w:r>
      <w:r w:rsidRPr="00FC4C66">
        <w:rPr>
          <w:rFonts w:ascii="STIXGeneral-Regular" w:eastAsia="Times New Roman" w:hAnsi="STIXGeneral-Regular" w:cs="Times New Roman"/>
          <w:color w:val="000000"/>
          <w:sz w:val="24"/>
          <w:szCs w:val="24"/>
        </w:rPr>
        <w:t>/</w:t>
      </w:r>
      <w:proofErr w:type="spellStart"/>
      <w:r w:rsidRPr="00FC4C66">
        <w:rPr>
          <w:rFonts w:ascii="STIXGeneral-Regular" w:eastAsia="Times New Roman" w:hAnsi="STIXGeneral-Regular" w:cs="Times New Roman"/>
          <w:color w:val="000000"/>
          <w:sz w:val="24"/>
          <w:szCs w:val="24"/>
        </w:rPr>
        <w:t>MgO</w:t>
      </w:r>
      <w:proofErr w:type="spellEnd"/>
      <w:r w:rsidRPr="00FC4C66">
        <w:rPr>
          <w:rFonts w:ascii="STIXGeneral-Regular" w:eastAsia="Times New Roman" w:hAnsi="STIXGeneral-Regular" w:cs="Times New Roman"/>
          <w:color w:val="000000"/>
          <w:sz w:val="24"/>
          <w:szCs w:val="24"/>
        </w:rPr>
        <w:t xml:space="preserve"> is 12 times more active than Fe</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O</w:t>
      </w:r>
      <w:r w:rsidRPr="00FC4C66">
        <w:rPr>
          <w:rFonts w:ascii="STIXGeneral-Regular" w:eastAsia="Times New Roman" w:hAnsi="STIXGeneral-Regular" w:cs="Times New Roman"/>
          <w:color w:val="000000"/>
          <w:sz w:val="24"/>
          <w:szCs w:val="24"/>
          <w:vertAlign w:val="subscript"/>
        </w:rPr>
        <w:t>3</w:t>
      </w:r>
      <w:r w:rsidRPr="00FC4C66">
        <w:rPr>
          <w:rFonts w:ascii="STIXGeneral-Regular" w:eastAsia="Times New Roman" w:hAnsi="STIXGeneral-Regular" w:cs="Times New Roman"/>
          <w:color w:val="000000"/>
          <w:sz w:val="24"/>
          <w:szCs w:val="24"/>
        </w:rPr>
        <w:t>/TiO</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 21 times more active than the unsupported catalyst, and 100 times more active than Fe</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O</w:t>
      </w:r>
      <w:r w:rsidRPr="00FC4C66">
        <w:rPr>
          <w:rFonts w:ascii="STIXGeneral-Regular" w:eastAsia="Times New Roman" w:hAnsi="STIXGeneral-Regular" w:cs="Times New Roman"/>
          <w:color w:val="000000"/>
          <w:sz w:val="24"/>
          <w:szCs w:val="24"/>
          <w:vertAlign w:val="subscript"/>
        </w:rPr>
        <w:t>3</w:t>
      </w:r>
      <w:r w:rsidRPr="00FC4C66">
        <w:rPr>
          <w:rFonts w:ascii="STIXGeneral-Regular" w:eastAsia="Times New Roman" w:hAnsi="STIXGeneral-Regular" w:cs="Times New Roman"/>
          <w:color w:val="000000"/>
          <w:sz w:val="24"/>
          <w:szCs w:val="24"/>
        </w:rPr>
        <w:t>/SiO</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w:t>
      </w:r>
    </w:p>
    <w:p w:rsidR="00FC4C66" w:rsidRPr="00FC4C66" w:rsidRDefault="00FC4C66" w:rsidP="00FC4C66">
      <w:pPr>
        <w:spacing w:before="180" w:after="180" w:line="300" w:lineRule="atLeast"/>
        <w:jc w:val="both"/>
        <w:rPr>
          <w:rFonts w:ascii="STIXGeneral-Regular" w:eastAsia="Times New Roman" w:hAnsi="STIXGeneral-Regular" w:cs="Times New Roman"/>
          <w:color w:val="000000"/>
          <w:sz w:val="24"/>
          <w:szCs w:val="24"/>
        </w:rPr>
      </w:pPr>
      <w:r w:rsidRPr="00FC4C66">
        <w:rPr>
          <w:rFonts w:ascii="STIXGeneral-Regular" w:eastAsia="Times New Roman" w:hAnsi="STIXGeneral-Regular" w:cs="Times New Roman"/>
          <w:color w:val="000000"/>
          <w:sz w:val="24"/>
          <w:szCs w:val="24"/>
        </w:rPr>
        <w:t>The X-ray crystalline phases of the elaborated Fe-only, 30Fe-Mg, 30Fe-Ti, and 30Fe-Si systems are given in Table </w:t>
      </w:r>
      <w:hyperlink r:id="rId17" w:tgtFrame="_blank" w:history="1">
        <w:r w:rsidRPr="00FC4C66">
          <w:rPr>
            <w:rFonts w:ascii="STIXGeneral-Regular" w:eastAsia="Times New Roman" w:hAnsi="STIXGeneral-Regular" w:cs="Times New Roman"/>
            <w:color w:val="4D8A17"/>
            <w:sz w:val="24"/>
            <w:szCs w:val="24"/>
            <w:u w:val="single"/>
          </w:rPr>
          <w:t>1</w:t>
        </w:r>
      </w:hyperlink>
      <w:r w:rsidRPr="00FC4C66">
        <w:rPr>
          <w:rFonts w:ascii="STIXGeneral-Regular" w:eastAsia="Times New Roman" w:hAnsi="STIXGeneral-Regular" w:cs="Times New Roman"/>
          <w:color w:val="000000"/>
          <w:sz w:val="24"/>
          <w:szCs w:val="24"/>
        </w:rPr>
        <w:t> with the results of calorimetric and DRIFT measurements data. MgFe</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O</w:t>
      </w:r>
      <w:r w:rsidRPr="00FC4C66">
        <w:rPr>
          <w:rFonts w:ascii="STIXGeneral-Regular" w:eastAsia="Times New Roman" w:hAnsi="STIXGeneral-Regular" w:cs="Times New Roman"/>
          <w:color w:val="000000"/>
          <w:sz w:val="24"/>
          <w:szCs w:val="24"/>
          <w:vertAlign w:val="subscript"/>
        </w:rPr>
        <w:t>4</w:t>
      </w:r>
      <w:r w:rsidRPr="00FC4C66">
        <w:rPr>
          <w:rFonts w:ascii="STIXGeneral-Regular" w:eastAsia="Times New Roman" w:hAnsi="STIXGeneral-Regular" w:cs="Times New Roman"/>
          <w:color w:val="000000"/>
          <w:sz w:val="24"/>
          <w:szCs w:val="24"/>
        </w:rPr>
        <w:t xml:space="preserve"> was identified with mainly </w:t>
      </w:r>
      <w:proofErr w:type="spellStart"/>
      <w:r w:rsidRPr="00FC4C66">
        <w:rPr>
          <w:rFonts w:ascii="STIXGeneral-Regular" w:eastAsia="Times New Roman" w:hAnsi="STIXGeneral-Regular" w:cs="Times New Roman"/>
          <w:color w:val="000000"/>
          <w:sz w:val="24"/>
          <w:szCs w:val="24"/>
        </w:rPr>
        <w:t>MgO</w:t>
      </w:r>
      <w:proofErr w:type="spellEnd"/>
      <w:r w:rsidRPr="00FC4C66">
        <w:rPr>
          <w:rFonts w:ascii="STIXGeneral-Regular" w:eastAsia="Times New Roman" w:hAnsi="STIXGeneral-Regular" w:cs="Times New Roman"/>
          <w:color w:val="000000"/>
          <w:sz w:val="24"/>
          <w:szCs w:val="24"/>
        </w:rPr>
        <w:t xml:space="preserve"> support phase in the 30Fe-Mg solid system. On the three other systems, iron was found at the Fe (3+) state in it </w:t>
      </w:r>
      <w:r w:rsidRPr="00FC4C66">
        <w:rPr>
          <w:rFonts w:ascii="STIXGeneral-Regular" w:eastAsia="Times New Roman" w:hAnsi="STIXGeneral-Regular" w:cs="Times New Roman"/>
          <w:i/>
          <w:iCs/>
          <w:color w:val="000000"/>
          <w:sz w:val="24"/>
          <w:szCs w:val="24"/>
        </w:rPr>
        <w:t>α</w:t>
      </w:r>
      <w:r w:rsidRPr="00FC4C66">
        <w:rPr>
          <w:rFonts w:ascii="STIXGeneral-Regular" w:eastAsia="Times New Roman" w:hAnsi="STIXGeneral-Regular" w:cs="Times New Roman"/>
          <w:color w:val="000000"/>
          <w:sz w:val="24"/>
          <w:szCs w:val="24"/>
        </w:rPr>
        <w:t>-Fe</w:t>
      </w:r>
      <w:r w:rsidRPr="00FC4C66">
        <w:rPr>
          <w:rFonts w:ascii="STIXGeneral-Regular" w:eastAsia="Times New Roman" w:hAnsi="STIXGeneral-Regular" w:cs="Times New Roman"/>
          <w:color w:val="000000"/>
          <w:sz w:val="24"/>
          <w:szCs w:val="24"/>
          <w:vertAlign w:val="subscript"/>
        </w:rPr>
        <w:t>2</w:t>
      </w:r>
      <w:r w:rsidRPr="00FC4C66">
        <w:rPr>
          <w:rFonts w:ascii="STIXGeneral-Regular" w:eastAsia="Times New Roman" w:hAnsi="STIXGeneral-Regular" w:cs="Times New Roman"/>
          <w:color w:val="000000"/>
          <w:sz w:val="24"/>
          <w:szCs w:val="24"/>
        </w:rPr>
        <w:t>O</w:t>
      </w:r>
      <w:r w:rsidRPr="00FC4C66">
        <w:rPr>
          <w:rFonts w:ascii="STIXGeneral-Regular" w:eastAsia="Times New Roman" w:hAnsi="STIXGeneral-Regular" w:cs="Times New Roman"/>
          <w:color w:val="000000"/>
          <w:sz w:val="24"/>
          <w:szCs w:val="24"/>
          <w:vertAlign w:val="subscript"/>
        </w:rPr>
        <w:t>3</w:t>
      </w:r>
      <w:r w:rsidRPr="00FC4C66">
        <w:rPr>
          <w:rFonts w:ascii="STIXGeneral-Regular" w:eastAsia="Times New Roman" w:hAnsi="STIXGeneral-Regular" w:cs="Times New Roman"/>
          <w:color w:val="000000"/>
          <w:sz w:val="24"/>
          <w:szCs w:val="24"/>
        </w:rPr>
        <w:t> </w:t>
      </w:r>
      <w:proofErr w:type="spellStart"/>
      <w:r w:rsidRPr="00FC4C66">
        <w:rPr>
          <w:rFonts w:ascii="STIXGeneral-Regular" w:eastAsia="Times New Roman" w:hAnsi="STIXGeneral-Regular" w:cs="Times New Roman"/>
          <w:color w:val="000000"/>
          <w:sz w:val="24"/>
          <w:szCs w:val="24"/>
        </w:rPr>
        <w:t>allotr</w:t>
      </w:r>
      <w:proofErr w:type="spellEnd"/>
    </w:p>
    <w:p w:rsidR="00774F7D" w:rsidRDefault="00774F7D"/>
    <w:sectPr w:rsidR="00774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IXGeneral-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66"/>
    <w:rsid w:val="00774F7D"/>
    <w:rsid w:val="00FC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9F125-396C-4D6F-9308-AAEE6F65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C4C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C4C6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C4C6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C4C6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C4C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4C66"/>
    <w:rPr>
      <w:color w:val="0000FF"/>
      <w:u w:val="single"/>
    </w:rPr>
  </w:style>
  <w:style w:type="character" w:customStyle="1" w:styleId="caption-text">
    <w:name w:val="caption-text"/>
    <w:basedOn w:val="DefaultParagraphFont"/>
    <w:rsid w:val="00FC4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943665">
      <w:bodyDiv w:val="1"/>
      <w:marLeft w:val="0"/>
      <w:marRight w:val="0"/>
      <w:marTop w:val="0"/>
      <w:marBottom w:val="0"/>
      <w:divBdr>
        <w:top w:val="none" w:sz="0" w:space="0" w:color="auto"/>
        <w:left w:val="none" w:sz="0" w:space="0" w:color="auto"/>
        <w:bottom w:val="none" w:sz="0" w:space="0" w:color="auto"/>
        <w:right w:val="none" w:sz="0" w:space="0" w:color="auto"/>
      </w:divBdr>
      <w:divsChild>
        <w:div w:id="1000540973">
          <w:marLeft w:val="0"/>
          <w:marRight w:val="0"/>
          <w:marTop w:val="375"/>
          <w:marBottom w:val="375"/>
          <w:divBdr>
            <w:top w:val="single" w:sz="6" w:space="0" w:color="E3E3E3"/>
            <w:left w:val="single" w:sz="6" w:space="0" w:color="E3E3E3"/>
            <w:bottom w:val="single" w:sz="6" w:space="0" w:color="E3E3E3"/>
            <w:right w:val="single" w:sz="6" w:space="0" w:color="E3E3E3"/>
          </w:divBdr>
          <w:divsChild>
            <w:div w:id="1551723395">
              <w:marLeft w:val="0"/>
              <w:marRight w:val="0"/>
              <w:marTop w:val="0"/>
              <w:marBottom w:val="0"/>
              <w:divBdr>
                <w:top w:val="none" w:sz="0" w:space="0" w:color="auto"/>
                <w:left w:val="none" w:sz="0" w:space="0" w:color="auto"/>
                <w:bottom w:val="none" w:sz="0" w:space="0" w:color="auto"/>
                <w:right w:val="none" w:sz="0" w:space="0" w:color="auto"/>
              </w:divBdr>
              <w:divsChild>
                <w:div w:id="1569613363">
                  <w:marLeft w:val="0"/>
                  <w:marRight w:val="0"/>
                  <w:marTop w:val="0"/>
                  <w:marBottom w:val="0"/>
                  <w:divBdr>
                    <w:top w:val="none" w:sz="0" w:space="0" w:color="auto"/>
                    <w:left w:val="none" w:sz="0" w:space="0" w:color="auto"/>
                    <w:bottom w:val="none" w:sz="0" w:space="0" w:color="auto"/>
                    <w:right w:val="none" w:sz="0" w:space="0" w:color="auto"/>
                  </w:divBdr>
                  <w:divsChild>
                    <w:div w:id="769934450">
                      <w:marLeft w:val="0"/>
                      <w:marRight w:val="0"/>
                      <w:marTop w:val="0"/>
                      <w:marBottom w:val="0"/>
                      <w:divBdr>
                        <w:top w:val="none" w:sz="0" w:space="0" w:color="auto"/>
                        <w:left w:val="none" w:sz="0" w:space="0" w:color="auto"/>
                        <w:bottom w:val="none" w:sz="0" w:space="0" w:color="auto"/>
                        <w:right w:val="none" w:sz="0" w:space="0" w:color="auto"/>
                      </w:divBdr>
                      <w:divsChild>
                        <w:div w:id="594050808">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177041178">
              <w:marLeft w:val="0"/>
              <w:marRight w:val="0"/>
              <w:marTop w:val="0"/>
              <w:marBottom w:val="0"/>
              <w:divBdr>
                <w:top w:val="single" w:sz="6" w:space="0" w:color="E3E3E3"/>
                <w:left w:val="none" w:sz="0" w:space="0" w:color="auto"/>
                <w:bottom w:val="none" w:sz="0" w:space="0" w:color="auto"/>
                <w:right w:val="none" w:sz="0" w:space="0" w:color="auto"/>
              </w:divBdr>
              <w:divsChild>
                <w:div w:id="796265560">
                  <w:marLeft w:val="0"/>
                  <w:marRight w:val="0"/>
                  <w:marTop w:val="0"/>
                  <w:marBottom w:val="0"/>
                  <w:divBdr>
                    <w:top w:val="none" w:sz="0" w:space="0" w:color="auto"/>
                    <w:left w:val="none" w:sz="0" w:space="0" w:color="auto"/>
                    <w:bottom w:val="single" w:sz="6" w:space="0" w:color="FFFFFF"/>
                    <w:right w:val="none" w:sz="0" w:space="0" w:color="auto"/>
                  </w:divBdr>
                </w:div>
                <w:div w:id="122960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9416">
          <w:marLeft w:val="0"/>
          <w:marRight w:val="0"/>
          <w:marTop w:val="375"/>
          <w:marBottom w:val="375"/>
          <w:divBdr>
            <w:top w:val="single" w:sz="6" w:space="0" w:color="E3E3E3"/>
            <w:left w:val="single" w:sz="6" w:space="0" w:color="E3E3E3"/>
            <w:bottom w:val="single" w:sz="6" w:space="0" w:color="E3E3E3"/>
            <w:right w:val="single" w:sz="6" w:space="0" w:color="E3E3E3"/>
          </w:divBdr>
          <w:divsChild>
            <w:div w:id="1374310227">
              <w:marLeft w:val="0"/>
              <w:marRight w:val="0"/>
              <w:marTop w:val="0"/>
              <w:marBottom w:val="0"/>
              <w:divBdr>
                <w:top w:val="none" w:sz="0" w:space="0" w:color="auto"/>
                <w:left w:val="none" w:sz="0" w:space="0" w:color="auto"/>
                <w:bottom w:val="none" w:sz="0" w:space="0" w:color="auto"/>
                <w:right w:val="none" w:sz="0" w:space="0" w:color="auto"/>
              </w:divBdr>
              <w:divsChild>
                <w:div w:id="1658072926">
                  <w:marLeft w:val="0"/>
                  <w:marRight w:val="0"/>
                  <w:marTop w:val="0"/>
                  <w:marBottom w:val="0"/>
                  <w:divBdr>
                    <w:top w:val="none" w:sz="0" w:space="0" w:color="auto"/>
                    <w:left w:val="none" w:sz="0" w:space="0" w:color="auto"/>
                    <w:bottom w:val="none" w:sz="0" w:space="0" w:color="auto"/>
                    <w:right w:val="none" w:sz="0" w:space="0" w:color="auto"/>
                  </w:divBdr>
                  <w:divsChild>
                    <w:div w:id="383794189">
                      <w:marLeft w:val="0"/>
                      <w:marRight w:val="0"/>
                      <w:marTop w:val="0"/>
                      <w:marBottom w:val="0"/>
                      <w:divBdr>
                        <w:top w:val="none" w:sz="0" w:space="0" w:color="auto"/>
                        <w:left w:val="none" w:sz="0" w:space="0" w:color="auto"/>
                        <w:bottom w:val="none" w:sz="0" w:space="0" w:color="auto"/>
                        <w:right w:val="none" w:sz="0" w:space="0" w:color="auto"/>
                      </w:divBdr>
                      <w:divsChild>
                        <w:div w:id="969823218">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382874656">
              <w:marLeft w:val="0"/>
              <w:marRight w:val="0"/>
              <w:marTop w:val="0"/>
              <w:marBottom w:val="0"/>
              <w:divBdr>
                <w:top w:val="single" w:sz="6" w:space="0" w:color="E3E3E3"/>
                <w:left w:val="none" w:sz="0" w:space="0" w:color="auto"/>
                <w:bottom w:val="none" w:sz="0" w:space="0" w:color="auto"/>
                <w:right w:val="none" w:sz="0" w:space="0" w:color="auto"/>
              </w:divBdr>
              <w:divsChild>
                <w:div w:id="1012604667">
                  <w:marLeft w:val="0"/>
                  <w:marRight w:val="0"/>
                  <w:marTop w:val="0"/>
                  <w:marBottom w:val="0"/>
                  <w:divBdr>
                    <w:top w:val="none" w:sz="0" w:space="0" w:color="auto"/>
                    <w:left w:val="none" w:sz="0" w:space="0" w:color="auto"/>
                    <w:bottom w:val="single" w:sz="6" w:space="0" w:color="FFFFFF"/>
                    <w:right w:val="none" w:sz="0" w:space="0" w:color="auto"/>
                  </w:divBdr>
                </w:div>
                <w:div w:id="117981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7446">
          <w:marLeft w:val="0"/>
          <w:marRight w:val="0"/>
          <w:marTop w:val="375"/>
          <w:marBottom w:val="375"/>
          <w:divBdr>
            <w:top w:val="single" w:sz="6" w:space="0" w:color="E3E3E3"/>
            <w:left w:val="single" w:sz="6" w:space="0" w:color="E3E3E3"/>
            <w:bottom w:val="single" w:sz="6" w:space="0" w:color="E3E3E3"/>
            <w:right w:val="single" w:sz="6" w:space="0" w:color="E3E3E3"/>
          </w:divBdr>
          <w:divsChild>
            <w:div w:id="644819350">
              <w:marLeft w:val="0"/>
              <w:marRight w:val="0"/>
              <w:marTop w:val="0"/>
              <w:marBottom w:val="0"/>
              <w:divBdr>
                <w:top w:val="none" w:sz="0" w:space="0" w:color="auto"/>
                <w:left w:val="none" w:sz="0" w:space="0" w:color="auto"/>
                <w:bottom w:val="none" w:sz="0" w:space="0" w:color="auto"/>
                <w:right w:val="none" w:sz="0" w:space="0" w:color="auto"/>
              </w:divBdr>
              <w:divsChild>
                <w:div w:id="673148827">
                  <w:marLeft w:val="0"/>
                  <w:marRight w:val="0"/>
                  <w:marTop w:val="0"/>
                  <w:marBottom w:val="0"/>
                  <w:divBdr>
                    <w:top w:val="none" w:sz="0" w:space="0" w:color="auto"/>
                    <w:left w:val="none" w:sz="0" w:space="0" w:color="auto"/>
                    <w:bottom w:val="none" w:sz="0" w:space="0" w:color="auto"/>
                    <w:right w:val="none" w:sz="0" w:space="0" w:color="auto"/>
                  </w:divBdr>
                  <w:divsChild>
                    <w:div w:id="2039162927">
                      <w:marLeft w:val="0"/>
                      <w:marRight w:val="0"/>
                      <w:marTop w:val="0"/>
                      <w:marBottom w:val="0"/>
                      <w:divBdr>
                        <w:top w:val="none" w:sz="0" w:space="0" w:color="auto"/>
                        <w:left w:val="none" w:sz="0" w:space="0" w:color="auto"/>
                        <w:bottom w:val="none" w:sz="0" w:space="0" w:color="auto"/>
                        <w:right w:val="none" w:sz="0" w:space="0" w:color="auto"/>
                      </w:divBdr>
                      <w:divsChild>
                        <w:div w:id="182136295">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082409360">
              <w:marLeft w:val="0"/>
              <w:marRight w:val="0"/>
              <w:marTop w:val="0"/>
              <w:marBottom w:val="0"/>
              <w:divBdr>
                <w:top w:val="single" w:sz="6" w:space="0" w:color="E3E3E3"/>
                <w:left w:val="none" w:sz="0" w:space="0" w:color="auto"/>
                <w:bottom w:val="none" w:sz="0" w:space="0" w:color="auto"/>
                <w:right w:val="none" w:sz="0" w:space="0" w:color="auto"/>
              </w:divBdr>
              <w:divsChild>
                <w:div w:id="17590710">
                  <w:marLeft w:val="0"/>
                  <w:marRight w:val="0"/>
                  <w:marTop w:val="0"/>
                  <w:marBottom w:val="0"/>
                  <w:divBdr>
                    <w:top w:val="none" w:sz="0" w:space="0" w:color="auto"/>
                    <w:left w:val="none" w:sz="0" w:space="0" w:color="auto"/>
                    <w:bottom w:val="single" w:sz="6" w:space="0" w:color="FFFFFF"/>
                    <w:right w:val="none" w:sz="0" w:space="0" w:color="auto"/>
                  </w:divBdr>
                </w:div>
                <w:div w:id="2858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ndawi.com/journals/jcat/2014/612575/fig1/"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indawi.com/journals/jcat/2014/612575/fig1/" TargetMode="External"/><Relationship Id="rId12" Type="http://schemas.openxmlformats.org/officeDocument/2006/relationships/hyperlink" Target="https://www.hindawi.com/journals/jcat/2014/612575/fig2/" TargetMode="External"/><Relationship Id="rId17" Type="http://schemas.openxmlformats.org/officeDocument/2006/relationships/hyperlink" Target="https://www.hindawi.com/journals/jcat/2014/612575/tab1/" TargetMode="External"/><Relationship Id="rId2" Type="http://schemas.openxmlformats.org/officeDocument/2006/relationships/settings" Target="settings.xml"/><Relationship Id="rId16" Type="http://schemas.openxmlformats.org/officeDocument/2006/relationships/hyperlink" Target="https://www.hindawi.com/journals/jcat/2014/612575/fig3/"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s://www.hindawi.com/journals/jcat/2014/612575/fig1/" TargetMode="External"/><Relationship Id="rId15" Type="http://schemas.openxmlformats.org/officeDocument/2006/relationships/hyperlink" Target="https://www.hindawi.com/journals/jcat/2014/612575/fig2/" TargetMode="External"/><Relationship Id="rId10" Type="http://schemas.openxmlformats.org/officeDocument/2006/relationships/hyperlink" Target="https://www.hindawi.com/journals/jcat/2014/612575/fig3/" TargetMode="External"/><Relationship Id="rId19" Type="http://schemas.openxmlformats.org/officeDocument/2006/relationships/theme" Target="theme/theme1.xml"/><Relationship Id="rId4" Type="http://schemas.openxmlformats.org/officeDocument/2006/relationships/hyperlink" Target="https://www.hindawi.com/journals/jcat/2014/612575/" TargetMode="External"/><Relationship Id="rId9" Type="http://schemas.openxmlformats.org/officeDocument/2006/relationships/hyperlink" Target="https://www.hindawi.com/journals/jcat/2014/612575/fig2/" TargetMode="External"/><Relationship Id="rId14" Type="http://schemas.openxmlformats.org/officeDocument/2006/relationships/hyperlink" Target="https://www.hindawi.com/journals/jcat/2014/612575/fig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uamr farooq</dc:creator>
  <cp:keywords/>
  <dc:description/>
  <cp:lastModifiedBy>m uamr farooq</cp:lastModifiedBy>
  <cp:revision>1</cp:revision>
  <dcterms:created xsi:type="dcterms:W3CDTF">2020-05-03T11:01:00Z</dcterms:created>
  <dcterms:modified xsi:type="dcterms:W3CDTF">2020-05-03T11:02:00Z</dcterms:modified>
</cp:coreProperties>
</file>