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34" w:rsidRDefault="002B7B34" w:rsidP="002B7B34">
      <w:pPr>
        <w:pStyle w:val="Default"/>
      </w:pPr>
    </w:p>
    <w:p w:rsidR="002B7B34" w:rsidRDefault="002B7B34" w:rsidP="002B7B34">
      <w:pPr>
        <w:pStyle w:val="Default"/>
        <w:rPr>
          <w:color w:val="auto"/>
        </w:rPr>
      </w:pPr>
    </w:p>
    <w:p w:rsidR="001D7CDE" w:rsidRDefault="002B7B34" w:rsidP="002B7B34">
      <w:pPr>
        <w:rPr>
          <w:b/>
          <w:bCs/>
          <w:sz w:val="36"/>
          <w:szCs w:val="36"/>
        </w:rPr>
      </w:pPr>
      <w:r>
        <w:t xml:space="preserve"> </w:t>
      </w:r>
      <w:r>
        <w:rPr>
          <w:b/>
          <w:bCs/>
          <w:sz w:val="36"/>
          <w:szCs w:val="36"/>
        </w:rPr>
        <w:t>Assessing the Consequences of Microbial Infection in Field Trials: Seen, Unseen, Beneficial, Parasitic and Pathogenic</w:t>
      </w:r>
    </w:p>
    <w:p w:rsidR="002B7B34" w:rsidRPr="002B7B34" w:rsidRDefault="002B7B34" w:rsidP="002B7B34">
      <w:pPr>
        <w:pStyle w:val="Default"/>
        <w:spacing w:line="360" w:lineRule="auto"/>
        <w:jc w:val="both"/>
      </w:pPr>
      <w:r w:rsidRPr="002B7B34">
        <w:rPr>
          <w:b/>
          <w:bCs/>
        </w:rPr>
        <w:t xml:space="preserve">Visual Disease Assessment </w:t>
      </w:r>
    </w:p>
    <w:p w:rsidR="002B7B34" w:rsidRDefault="002B7B34" w:rsidP="002B7B34">
      <w:pPr>
        <w:spacing w:line="360" w:lineRule="auto"/>
        <w:jc w:val="both"/>
        <w:rPr>
          <w:rFonts w:ascii="Times New Roman" w:hAnsi="Times New Roman" w:cs="Times New Roman"/>
          <w:sz w:val="24"/>
          <w:szCs w:val="24"/>
        </w:rPr>
      </w:pPr>
      <w:r w:rsidRPr="002B7B34">
        <w:rPr>
          <w:rFonts w:ascii="Times New Roman" w:hAnsi="Times New Roman" w:cs="Times New Roman"/>
          <w:sz w:val="24"/>
          <w:szCs w:val="24"/>
        </w:rPr>
        <w:t xml:space="preserve">Assessment of visible disease symptoms remains the primary method for detecting and quantifying most crop diseases, both under controlled environments and in field trials. Visible disease assessments have been routinely used for many years in order to monitor varietal performance, for mapping major and quantitative resistances to crop pathogens or assessing the impact of various crop protection practices. Whilst visual assessment provides a relatively cheap and quick method for assessing entire field plots, such measurements are not necessarily true reflections of </w:t>
      </w:r>
      <w:r>
        <w:rPr>
          <w:rFonts w:ascii="Times New Roman" w:hAnsi="Times New Roman" w:cs="Times New Roman"/>
          <w:sz w:val="24"/>
          <w:szCs w:val="24"/>
        </w:rPr>
        <w:t>overall levels of infection</w:t>
      </w:r>
      <w:r w:rsidRPr="002B7B34">
        <w:rPr>
          <w:rFonts w:ascii="Times New Roman" w:hAnsi="Times New Roman" w:cs="Times New Roman"/>
          <w:sz w:val="24"/>
          <w:szCs w:val="24"/>
        </w:rPr>
        <w:t xml:space="preserve">. Furthermore, crops grown under field conditions can be exposed to a variety of plant pathogens, whilst the majority of major crop pathogens produce symptoms that are distinct and </w:t>
      </w:r>
      <w:proofErr w:type="spellStart"/>
      <w:r w:rsidRPr="002B7B34">
        <w:rPr>
          <w:rFonts w:ascii="Times New Roman" w:hAnsi="Times New Roman" w:cs="Times New Roman"/>
          <w:sz w:val="24"/>
          <w:szCs w:val="24"/>
        </w:rPr>
        <w:t>recognisable</w:t>
      </w:r>
      <w:proofErr w:type="spellEnd"/>
      <w:r w:rsidRPr="002B7B34">
        <w:rPr>
          <w:rFonts w:ascii="Times New Roman" w:hAnsi="Times New Roman" w:cs="Times New Roman"/>
          <w:sz w:val="24"/>
          <w:szCs w:val="24"/>
        </w:rPr>
        <w:t xml:space="preserve"> by appropriately trained field workers, less common </w:t>
      </w:r>
      <w:proofErr w:type="spellStart"/>
      <w:r w:rsidRPr="002B7B34">
        <w:rPr>
          <w:rFonts w:ascii="Times New Roman" w:hAnsi="Times New Roman" w:cs="Times New Roman"/>
          <w:sz w:val="24"/>
          <w:szCs w:val="24"/>
        </w:rPr>
        <w:t>pathosystems</w:t>
      </w:r>
      <w:proofErr w:type="spellEnd"/>
      <w:r w:rsidRPr="002B7B34">
        <w:rPr>
          <w:rFonts w:ascii="Times New Roman" w:hAnsi="Times New Roman" w:cs="Times New Roman"/>
          <w:sz w:val="24"/>
          <w:szCs w:val="24"/>
        </w:rPr>
        <w:t xml:space="preserve"> may produce similar or identica</w:t>
      </w:r>
      <w:r>
        <w:rPr>
          <w:rFonts w:ascii="Times New Roman" w:hAnsi="Times New Roman" w:cs="Times New Roman"/>
          <w:sz w:val="24"/>
          <w:szCs w:val="24"/>
        </w:rPr>
        <w:t>l disease symptoms</w:t>
      </w:r>
      <w:r w:rsidRPr="002B7B34">
        <w:rPr>
          <w:rFonts w:ascii="Times New Roman" w:hAnsi="Times New Roman" w:cs="Times New Roman"/>
          <w:sz w:val="24"/>
          <w:szCs w:val="24"/>
        </w:rPr>
        <w:t xml:space="preserve">. Furthermore, in some cases, closely related pathogen species may not be distinguished by symptom expression despite differences in host </w:t>
      </w:r>
      <w:r>
        <w:rPr>
          <w:rFonts w:ascii="Times New Roman" w:hAnsi="Times New Roman" w:cs="Times New Roman"/>
          <w:sz w:val="24"/>
          <w:szCs w:val="24"/>
        </w:rPr>
        <w:t>pathogen interactions</w:t>
      </w:r>
      <w:r w:rsidRPr="002B7B34">
        <w:rPr>
          <w:rFonts w:ascii="Times New Roman" w:hAnsi="Times New Roman" w:cs="Times New Roman"/>
          <w:sz w:val="24"/>
          <w:szCs w:val="24"/>
        </w:rPr>
        <w:t xml:space="preserve"> or </w:t>
      </w:r>
      <w:r>
        <w:rPr>
          <w:rFonts w:ascii="Times New Roman" w:hAnsi="Times New Roman" w:cs="Times New Roman"/>
          <w:sz w:val="24"/>
          <w:szCs w:val="24"/>
        </w:rPr>
        <w:t>agricultural significance</w:t>
      </w:r>
      <w:r w:rsidRPr="002B7B34">
        <w:rPr>
          <w:rFonts w:ascii="Times New Roman" w:hAnsi="Times New Roman" w:cs="Times New Roman"/>
          <w:sz w:val="24"/>
          <w:szCs w:val="24"/>
        </w:rPr>
        <w:t xml:space="preserve">. </w:t>
      </w:r>
      <w:proofErr w:type="spellStart"/>
      <w:r w:rsidRPr="002B7B34">
        <w:rPr>
          <w:rFonts w:ascii="Times New Roman" w:hAnsi="Times New Roman" w:cs="Times New Roman"/>
          <w:sz w:val="24"/>
          <w:szCs w:val="24"/>
        </w:rPr>
        <w:t>Abiotic</w:t>
      </w:r>
      <w:proofErr w:type="spellEnd"/>
      <w:r w:rsidRPr="002B7B34">
        <w:rPr>
          <w:rFonts w:ascii="Times New Roman" w:hAnsi="Times New Roman" w:cs="Times New Roman"/>
          <w:sz w:val="24"/>
          <w:szCs w:val="24"/>
        </w:rPr>
        <w:t xml:space="preserve"> stresses (often in conjunction with crop genotype) can produce phenotypes that are superficially </w:t>
      </w:r>
      <w:r>
        <w:rPr>
          <w:rFonts w:ascii="Times New Roman" w:hAnsi="Times New Roman" w:cs="Times New Roman"/>
          <w:sz w:val="24"/>
          <w:szCs w:val="24"/>
        </w:rPr>
        <w:t>similar to disease symptoms</w:t>
      </w:r>
      <w:r w:rsidRPr="002B7B34">
        <w:rPr>
          <w:rFonts w:ascii="Times New Roman" w:hAnsi="Times New Roman" w:cs="Times New Roman"/>
          <w:sz w:val="24"/>
          <w:szCs w:val="24"/>
        </w:rPr>
        <w:t>. As such, assessors require a high level of training and experience to be able to recognize and distinguish between common pathogens as well as physiological, disease-like, phenotypes.</w:t>
      </w:r>
    </w:p>
    <w:p w:rsidR="002B7B34" w:rsidRPr="002B7B34" w:rsidRDefault="002B7B34" w:rsidP="002B7B34">
      <w:pPr>
        <w:pStyle w:val="Default"/>
        <w:spacing w:line="360" w:lineRule="auto"/>
        <w:jc w:val="both"/>
        <w:rPr>
          <w:b/>
        </w:rPr>
      </w:pPr>
      <w:r w:rsidRPr="002B7B34">
        <w:rPr>
          <w:b/>
          <w:iCs/>
        </w:rPr>
        <w:t xml:space="preserve">Field Scoring Visible Disease Symptoms </w:t>
      </w:r>
    </w:p>
    <w:p w:rsidR="002B7B34" w:rsidRPr="002B7B34" w:rsidRDefault="002B7B34" w:rsidP="002B7B34">
      <w:pPr>
        <w:pStyle w:val="Default"/>
        <w:spacing w:line="360" w:lineRule="auto"/>
        <w:jc w:val="both"/>
      </w:pPr>
      <w:r w:rsidRPr="002B7B34">
        <w:t>For systemic diseases, or diseases that invariably kill whole plants, disease incidence may be a s</w:t>
      </w:r>
      <w:r>
        <w:t>ufficient description</w:t>
      </w:r>
      <w:r w:rsidRPr="002B7B34">
        <w:t>, with disease on crops or plants being reported as either present or absent. Similarly, when disease levels are low, incidence may be an adequate approximation of severity. However, in most cases it is necessary to score disease severity as a quantitative trait. Most quantitative visual disease assessment protocols use disease severity keys with descriptions of symptoms that relate to varying level</w:t>
      </w:r>
      <w:r>
        <w:t>s of disease severity</w:t>
      </w:r>
      <w:r w:rsidRPr="002B7B34">
        <w:t xml:space="preserve">. Furthermore, heterogeneity in disease severity may exist within field plots, whilst the relationship between subjective assessment of disease and true levels of infection is not always simple. Inevitably, this leads to large subjective </w:t>
      </w:r>
      <w:r w:rsidRPr="002B7B34">
        <w:lastRenderedPageBreak/>
        <w:t>co</w:t>
      </w:r>
      <w:r>
        <w:t>mponents in disease ratings</w:t>
      </w:r>
      <w:r w:rsidRPr="002B7B34">
        <w:t xml:space="preserve">. For a single assessor scoring a single trial this may have little significance, but when comparisons are made between trials, or multiple assessors are used for scoring single trials, </w:t>
      </w:r>
      <w:r>
        <w:t>these must be accounted for</w:t>
      </w:r>
      <w:r w:rsidRPr="002B7B34">
        <w:t>. A recent study examining the effect of subjectivity on the ability to detect QTL for northern leaf blight resistance in maize concluded that whilst variation between scorers was unlikely to affect the estimation of QTL locations, significant variation was detected in th</w:t>
      </w:r>
      <w:r>
        <w:t>e estimation of QTL effects</w:t>
      </w:r>
      <w:r w:rsidRPr="002B7B34">
        <w:t xml:space="preserve">. </w:t>
      </w:r>
    </w:p>
    <w:p w:rsidR="002B7B34" w:rsidRPr="002B7B34" w:rsidRDefault="002B7B34" w:rsidP="002B7B34">
      <w:pPr>
        <w:spacing w:line="360" w:lineRule="auto"/>
        <w:jc w:val="both"/>
        <w:rPr>
          <w:rFonts w:ascii="Times New Roman" w:hAnsi="Times New Roman" w:cs="Times New Roman"/>
          <w:sz w:val="24"/>
          <w:szCs w:val="24"/>
        </w:rPr>
      </w:pPr>
      <w:r w:rsidRPr="002B7B34">
        <w:rPr>
          <w:rFonts w:ascii="Times New Roman" w:hAnsi="Times New Roman" w:cs="Times New Roman"/>
          <w:sz w:val="24"/>
          <w:szCs w:val="24"/>
        </w:rPr>
        <w:t>A number of attempts have been made to remove subjective components in disease assessment by automating symptom identification and quantification using image analys</w:t>
      </w:r>
      <w:r>
        <w:rPr>
          <w:rFonts w:ascii="Times New Roman" w:hAnsi="Times New Roman" w:cs="Times New Roman"/>
          <w:sz w:val="24"/>
          <w:szCs w:val="24"/>
        </w:rPr>
        <w:t>is techniques</w:t>
      </w:r>
      <w:r w:rsidRPr="002B7B34">
        <w:rPr>
          <w:rFonts w:ascii="Times New Roman" w:hAnsi="Times New Roman" w:cs="Times New Roman"/>
          <w:sz w:val="24"/>
          <w:szCs w:val="24"/>
        </w:rPr>
        <w:t>. Whilst such methods are now being employed</w:t>
      </w:r>
      <w:r>
        <w:rPr>
          <w:rFonts w:ascii="Times New Roman" w:hAnsi="Times New Roman" w:cs="Times New Roman"/>
          <w:sz w:val="24"/>
          <w:szCs w:val="24"/>
        </w:rPr>
        <w:t xml:space="preserve"> in field settings</w:t>
      </w:r>
      <w:r w:rsidRPr="002B7B34">
        <w:rPr>
          <w:rFonts w:ascii="Times New Roman" w:hAnsi="Times New Roman" w:cs="Times New Roman"/>
          <w:sz w:val="24"/>
          <w:szCs w:val="24"/>
        </w:rPr>
        <w:t>, and can, in some cases, distinguish between symptoms caused by different pathogens, the applications of image analysis methods are generally too specific</w:t>
      </w:r>
      <w:r>
        <w:rPr>
          <w:rFonts w:ascii="Times New Roman" w:hAnsi="Times New Roman" w:cs="Times New Roman"/>
          <w:sz w:val="24"/>
          <w:szCs w:val="24"/>
        </w:rPr>
        <w:t xml:space="preserve"> to be of use as a general tool</w:t>
      </w:r>
      <w:r w:rsidRPr="002B7B34">
        <w:rPr>
          <w:rFonts w:ascii="Times New Roman" w:hAnsi="Times New Roman" w:cs="Times New Roman"/>
          <w:sz w:val="24"/>
          <w:szCs w:val="24"/>
        </w:rPr>
        <w:t>. However, this area of research is developing rapidly, and improvements in computational techniques and imaging technologies has the potential to offer generalized tools f</w:t>
      </w:r>
      <w:r>
        <w:rPr>
          <w:rFonts w:ascii="Times New Roman" w:hAnsi="Times New Roman" w:cs="Times New Roman"/>
          <w:sz w:val="24"/>
          <w:szCs w:val="24"/>
        </w:rPr>
        <w:t>or studying field infection</w:t>
      </w:r>
      <w:r w:rsidRPr="002B7B34">
        <w:rPr>
          <w:rFonts w:ascii="Times New Roman" w:hAnsi="Times New Roman" w:cs="Times New Roman"/>
          <w:sz w:val="24"/>
          <w:szCs w:val="24"/>
        </w:rPr>
        <w:t>.</w:t>
      </w:r>
    </w:p>
    <w:sectPr w:rsidR="002B7B34" w:rsidRPr="002B7B34"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B34"/>
    <w:rsid w:val="001D7CDE"/>
    <w:rsid w:val="002B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B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1</cp:revision>
  <dcterms:created xsi:type="dcterms:W3CDTF">2020-05-02T17:22:00Z</dcterms:created>
  <dcterms:modified xsi:type="dcterms:W3CDTF">2020-05-02T17:32:00Z</dcterms:modified>
</cp:coreProperties>
</file>