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3C" w:rsidRPr="00C2355E" w:rsidRDefault="001D4F3C" w:rsidP="00C235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2355E">
        <w:rPr>
          <w:rFonts w:ascii="Times New Roman" w:hAnsi="Times New Roman" w:cs="Times New Roman"/>
          <w:color w:val="231F20"/>
          <w:sz w:val="24"/>
          <w:szCs w:val="24"/>
        </w:rPr>
        <w:t>FORECASTING PLANT DISEASE EPIDEMICS</w:t>
      </w:r>
    </w:p>
    <w:p w:rsidR="001D4F3C" w:rsidRPr="00C2355E" w:rsidRDefault="001D4F3C" w:rsidP="00C235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2355E">
        <w:rPr>
          <w:rFonts w:ascii="Times New Roman" w:hAnsi="Times New Roman" w:cs="Times New Roman"/>
          <w:color w:val="231F20"/>
          <w:sz w:val="24"/>
          <w:szCs w:val="24"/>
        </w:rPr>
        <w:t>Being able to forecast plant disease epidemics is intellectually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stimulating and also an indication of the success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of modeling or computer simulation of particular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diseases. Foremost, however, it is extremely useful to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farmers in the practical management of crop disease.</w:t>
      </w:r>
    </w:p>
    <w:p w:rsidR="001D4F3C" w:rsidRPr="00C2355E" w:rsidRDefault="001D4F3C" w:rsidP="00C235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2355E">
        <w:rPr>
          <w:rFonts w:ascii="Times New Roman" w:hAnsi="Times New Roman" w:cs="Times New Roman"/>
          <w:color w:val="231F20"/>
          <w:sz w:val="24"/>
          <w:szCs w:val="24"/>
        </w:rPr>
        <w:t>Disease forecasting allows the prediction of probable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outbreaks or increases in intensity of disease and, therefore,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allows us to determine whether, when, and where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a particular management practice should be applied. In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managing the diseases of their crops, growers must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always weigh the risks, costs, and benefits of each of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numerous decisions. For example, they must decide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whether or not to plant a certain crop in a particular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f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ield. Growers must also decide whether to buy more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expensive propagating stock free of virus and other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pathogens or whether they can “get by” with untested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stock. Quite often, growers must decide whether to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plant seed of a more expensive or less-yielding but resistant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variety rather than seed of a high-yielding but susceptible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variety that needs to be protected by chemical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sprays. Most frequently, farmers need forecasts that will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help them determine whether a plant infection is likely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to occur so they can decide whether to spray a crop right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away or to wait for several more days before they spray.</w:t>
      </w:r>
    </w:p>
    <w:p w:rsidR="00C2355E" w:rsidRDefault="001D4F3C" w:rsidP="00C235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2355E">
        <w:rPr>
          <w:rFonts w:ascii="Times New Roman" w:hAnsi="Times New Roman" w:cs="Times New Roman"/>
          <w:color w:val="231F20"/>
          <w:sz w:val="24"/>
          <w:szCs w:val="24"/>
        </w:rPr>
        <w:t>If disease forecasting allows them to wait, they can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reduce the amounts of chemicals and labor used without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increasing the risk of losing their crop.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To develop a plant disease forecast, one must take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into account several characteristics of the particular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pathogen, host, and, of course, environment. In general,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for most monocyclic diseases (such as root rot of peas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and Stewart’s wilt of corn) and for a few polycyclic diseases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 xml:space="preserve">that may have a large amount of initial 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inoculums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(such as apple scab), disease development may be predicted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 xml:space="preserve">by assessing the amount of the initial </w:t>
      </w:r>
      <w:proofErr w:type="spellStart"/>
      <w:r w:rsidRPr="00C2355E">
        <w:rPr>
          <w:rFonts w:ascii="Times New Roman" w:hAnsi="Times New Roman" w:cs="Times New Roman"/>
          <w:color w:val="231F20"/>
          <w:sz w:val="24"/>
          <w:szCs w:val="24"/>
        </w:rPr>
        <w:t>inoculum.</w:t>
      </w:r>
      <w:proofErr w:type="spellEnd"/>
    </w:p>
    <w:p w:rsidR="001D4F3C" w:rsidRPr="00C2355E" w:rsidRDefault="001D4F3C" w:rsidP="00C235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2355E">
        <w:rPr>
          <w:rFonts w:ascii="Times New Roman" w:hAnsi="Times New Roman" w:cs="Times New Roman"/>
          <w:color w:val="231F20"/>
          <w:sz w:val="24"/>
          <w:szCs w:val="24"/>
        </w:rPr>
        <w:t>For polycyclic diseases (such as late blight of potato)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 xml:space="preserve">that have a small amount of initial </w:t>
      </w:r>
      <w:proofErr w:type="spellStart"/>
      <w:r w:rsidRPr="00C2355E">
        <w:rPr>
          <w:rFonts w:ascii="Times New Roman" w:hAnsi="Times New Roman" w:cs="Times New Roman"/>
          <w:color w:val="231F20"/>
          <w:sz w:val="24"/>
          <w:szCs w:val="24"/>
        </w:rPr>
        <w:t>inoculum</w:t>
      </w:r>
      <w:proofErr w:type="spellEnd"/>
      <w:r w:rsidRPr="00C2355E">
        <w:rPr>
          <w:rFonts w:ascii="Times New Roman" w:hAnsi="Times New Roman" w:cs="Times New Roman"/>
          <w:color w:val="231F20"/>
          <w:sz w:val="24"/>
          <w:szCs w:val="24"/>
        </w:rPr>
        <w:t xml:space="preserve"> but many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infection cycles, disease development can best be predicted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by assessing the rate of occurrence of the infection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cycles. For diseases in which both the amount of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 xml:space="preserve">initial </w:t>
      </w:r>
      <w:proofErr w:type="spellStart"/>
      <w:r w:rsidRPr="00C2355E">
        <w:rPr>
          <w:rFonts w:ascii="Times New Roman" w:hAnsi="Times New Roman" w:cs="Times New Roman"/>
          <w:color w:val="231F20"/>
          <w:sz w:val="24"/>
          <w:szCs w:val="24"/>
        </w:rPr>
        <w:t>inoculum</w:t>
      </w:r>
      <w:proofErr w:type="spellEnd"/>
      <w:r w:rsidRPr="00C2355E">
        <w:rPr>
          <w:rFonts w:ascii="Times New Roman" w:hAnsi="Times New Roman" w:cs="Times New Roman"/>
          <w:color w:val="231F20"/>
          <w:sz w:val="24"/>
          <w:szCs w:val="24"/>
        </w:rPr>
        <w:t xml:space="preserve"> and the number of disease cycles are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large, e.g., beet yellows, both factors must be assessed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for the accurate prediction of disease epidemics. Such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assessments, however, are often difficult or impossible,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and, despite considerable improvements in equipment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 xml:space="preserve">and methods, assessments of initial </w:t>
      </w:r>
      <w:proofErr w:type="spellStart"/>
      <w:r w:rsidRPr="00C2355E">
        <w:rPr>
          <w:rFonts w:ascii="Times New Roman" w:hAnsi="Times New Roman" w:cs="Times New Roman"/>
          <w:color w:val="231F20"/>
          <w:sz w:val="24"/>
          <w:szCs w:val="24"/>
        </w:rPr>
        <w:t>inoculum</w:t>
      </w:r>
      <w:proofErr w:type="spellEnd"/>
      <w:r w:rsidRPr="00C2355E">
        <w:rPr>
          <w:rFonts w:ascii="Times New Roman" w:hAnsi="Times New Roman" w:cs="Times New Roman"/>
          <w:color w:val="231F20"/>
          <w:sz w:val="24"/>
          <w:szCs w:val="24"/>
        </w:rPr>
        <w:t xml:space="preserve"> or rapidity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of infection cycles are seldom accurate.</w:t>
      </w:r>
    </w:p>
    <w:p w:rsidR="001D4F3C" w:rsidRPr="00C2355E" w:rsidRDefault="001D4F3C" w:rsidP="00C235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2355E">
        <w:rPr>
          <w:rFonts w:ascii="Times New Roman" w:hAnsi="Times New Roman" w:cs="Times New Roman"/>
          <w:b/>
          <w:bCs/>
          <w:color w:val="231F20"/>
          <w:sz w:val="24"/>
          <w:szCs w:val="24"/>
        </w:rPr>
        <w:t>Disease Diagnosis: The Key to Forecasting of any</w:t>
      </w:r>
    </w:p>
    <w:p w:rsidR="001D4F3C" w:rsidRPr="00C2355E" w:rsidRDefault="001D4F3C" w:rsidP="00C235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2355E">
        <w:rPr>
          <w:rFonts w:ascii="Times New Roman" w:hAnsi="Times New Roman" w:cs="Times New Roman"/>
          <w:b/>
          <w:bCs/>
          <w:color w:val="231F20"/>
          <w:sz w:val="24"/>
          <w:szCs w:val="24"/>
        </w:rPr>
        <w:t>Plant Disease Epidemic</w:t>
      </w:r>
    </w:p>
    <w:p w:rsidR="001D4F3C" w:rsidRPr="00C2355E" w:rsidRDefault="001D4F3C" w:rsidP="00C235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2355E">
        <w:rPr>
          <w:rFonts w:ascii="Times New Roman" w:hAnsi="Times New Roman" w:cs="Times New Roman"/>
          <w:color w:val="231F20"/>
          <w:sz w:val="24"/>
          <w:szCs w:val="24"/>
        </w:rPr>
        <w:lastRenderedPageBreak/>
        <w:t>Plants in a field are rarely attacked by a single kind of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pathogen. More often than not, leaf spots and blotches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 xml:space="preserve">caused by </w:t>
      </w:r>
      <w:proofErr w:type="spellStart"/>
      <w:r w:rsidRPr="00C2355E">
        <w:rPr>
          <w:rFonts w:ascii="Times New Roman" w:hAnsi="Times New Roman" w:cs="Times New Roman"/>
          <w:color w:val="231F20"/>
          <w:sz w:val="24"/>
          <w:szCs w:val="24"/>
        </w:rPr>
        <w:t>abiotic</w:t>
      </w:r>
      <w:proofErr w:type="spellEnd"/>
      <w:r w:rsidRPr="00C2355E">
        <w:rPr>
          <w:rFonts w:ascii="Times New Roman" w:hAnsi="Times New Roman" w:cs="Times New Roman"/>
          <w:color w:val="231F20"/>
          <w:sz w:val="24"/>
          <w:szCs w:val="24"/>
        </w:rPr>
        <w:t xml:space="preserve"> factors or bacteria may be present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along with spots and blotches caused by fungi. Such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symptoms may be confused with those caused by the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pathogen in question and may be difficult to diagnose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accurately. Such difficulty is especially likely early in the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development of a disease when accurate diagnosis is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needed most for determining if a threshold for development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of an epidemic has been reached and appropriate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instructions for its management must be issued. Inaccurate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diagnosis of the pathogen in question as being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present in the crop early, while in reality it is not, will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lead to premature recommendation to spray and therefore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to additional and unnecessary fungicide applications.</w:t>
      </w:r>
    </w:p>
    <w:p w:rsidR="001D4F3C" w:rsidRPr="00C2355E" w:rsidRDefault="001D4F3C" w:rsidP="00C235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2355E">
        <w:rPr>
          <w:rFonts w:ascii="Times New Roman" w:hAnsi="Times New Roman" w:cs="Times New Roman"/>
          <w:color w:val="231F20"/>
          <w:sz w:val="24"/>
          <w:szCs w:val="24"/>
        </w:rPr>
        <w:t>However, misdiagnosis of the real pathogen as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something else of lesser importance is likely to miss the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opportunity to take appropriate management measures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early in the development of the epidemic and to make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it much more difficult and expensive to prevent the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epidemic from developing and causing serious losses.</w:t>
      </w:r>
    </w:p>
    <w:p w:rsidR="001D4F3C" w:rsidRPr="00C2355E" w:rsidRDefault="001D4F3C" w:rsidP="00C235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2355E">
        <w:rPr>
          <w:rFonts w:ascii="Times New Roman" w:hAnsi="Times New Roman" w:cs="Times New Roman"/>
          <w:b/>
          <w:bCs/>
          <w:color w:val="231F20"/>
          <w:sz w:val="24"/>
          <w:szCs w:val="24"/>
        </w:rPr>
        <w:t>Evaluation of Epidemic Thresholds</w:t>
      </w:r>
    </w:p>
    <w:p w:rsidR="001D4F3C" w:rsidRPr="00C2355E" w:rsidRDefault="001D4F3C" w:rsidP="00C235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2355E">
        <w:rPr>
          <w:rFonts w:ascii="Times New Roman" w:hAnsi="Times New Roman" w:cs="Times New Roman"/>
          <w:color w:val="231F20"/>
          <w:sz w:val="24"/>
          <w:szCs w:val="24"/>
        </w:rPr>
        <w:t>It is always desirable for the grower to have flexibility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in timing fungicide applications according to the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progress of an epidemic. In diseases characterized by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numerous localized infections (foliar diseases), epidemics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are generally characterized by three parameters: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disease incidence in individual plants, disease incidence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in individual organs (usually leaves), and disease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severity (percentage infected leaf area) in leaves. These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parameters mark different phases of disease development.</w:t>
      </w:r>
    </w:p>
    <w:p w:rsidR="001D4F3C" w:rsidRPr="00C2355E" w:rsidRDefault="001D4F3C" w:rsidP="00C235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2355E">
        <w:rPr>
          <w:rFonts w:ascii="Times New Roman" w:hAnsi="Times New Roman" w:cs="Times New Roman"/>
          <w:color w:val="231F20"/>
          <w:sz w:val="24"/>
          <w:szCs w:val="24"/>
        </w:rPr>
        <w:t>In the early stages of disease, disease incidence in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plants may increase rapidly but disease severity on individual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plants is low. In the second phase of the epidemic,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i.e., disease incidence in leaves, there is a small increase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in disease severity along with an increase in disease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incidence in leaves. Depending on the specific disease,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when a percentage (e.g., 1–50%) of plants and a percentage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(e.g., 1–25%) of leaves show disease incidence,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these are taken as the epidemic threshold in the first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two phases of the epidemic for the application of fungicides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to stop or slow the development of the epidemic.</w:t>
      </w:r>
    </w:p>
    <w:p w:rsidR="001D4F3C" w:rsidRPr="00C2355E" w:rsidRDefault="001D4F3C" w:rsidP="00C235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2355E">
        <w:rPr>
          <w:rFonts w:ascii="Times New Roman" w:hAnsi="Times New Roman" w:cs="Times New Roman"/>
          <w:color w:val="231F20"/>
          <w:sz w:val="24"/>
          <w:szCs w:val="24"/>
        </w:rPr>
        <w:t>During the third phase of a disease, disease severity is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likely to increase rapidly (up to 2–50% per week).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During this phase, fungicides are applied according to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disease severity assessment, the dictates of weather conditions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(rainfall, relative humidity, temperature measured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daily, and providing a daily infection value), and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continue as long as there is healthy tissue on the plants</w:t>
      </w:r>
    </w:p>
    <w:p w:rsidR="001D4F3C" w:rsidRPr="00C2355E" w:rsidRDefault="001D4F3C" w:rsidP="00C235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2355E">
        <w:rPr>
          <w:rFonts w:ascii="Times New Roman" w:hAnsi="Times New Roman" w:cs="Times New Roman"/>
          <w:color w:val="231F20"/>
          <w:sz w:val="24"/>
          <w:szCs w:val="24"/>
        </w:rPr>
        <w:lastRenderedPageBreak/>
        <w:t>that</w:t>
      </w:r>
      <w:proofErr w:type="gramEnd"/>
      <w:r w:rsidRPr="00C2355E">
        <w:rPr>
          <w:rFonts w:ascii="Times New Roman" w:hAnsi="Times New Roman" w:cs="Times New Roman"/>
          <w:color w:val="231F20"/>
          <w:sz w:val="24"/>
          <w:szCs w:val="24"/>
        </w:rPr>
        <w:t xml:space="preserve"> needs to be protected while the crop is not yet ready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for harvest.</w:t>
      </w:r>
    </w:p>
    <w:p w:rsidR="001D4F3C" w:rsidRPr="00C2355E" w:rsidRDefault="001D4F3C" w:rsidP="00C235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2355E">
        <w:rPr>
          <w:rFonts w:ascii="Times New Roman" w:hAnsi="Times New Roman" w:cs="Times New Roman"/>
          <w:b/>
          <w:bCs/>
          <w:color w:val="231F20"/>
          <w:sz w:val="24"/>
          <w:szCs w:val="24"/>
        </w:rPr>
        <w:t>Evaluation of Economic Damage Threshold</w:t>
      </w:r>
    </w:p>
    <w:p w:rsidR="001D4F3C" w:rsidRPr="00C2355E" w:rsidRDefault="001D4F3C" w:rsidP="00C235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2355E">
        <w:rPr>
          <w:rFonts w:ascii="Times New Roman" w:hAnsi="Times New Roman" w:cs="Times New Roman"/>
          <w:color w:val="231F20"/>
          <w:sz w:val="24"/>
          <w:szCs w:val="24"/>
        </w:rPr>
        <w:t>Although it is fairly easy to determine the epidemic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threshold, in many plant diseases the threshold for a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fungicide application is reached late in the season, which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results in disease severity remaining low and yield not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being affected. Therefore, in order to apply fungicides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only when needed, one must evaluate the tolerance level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of disease severity at harvest. This tolerance level,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known as economic damage threshold, is the highest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disease severity level that does not decrease economic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profits. The economic damage threshold is obtained by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studying a disease–loss relationship of disease severity at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harvest and the final value of the produce and then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determining the point beyond which disease severity at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harvest decreases economic profits.</w:t>
      </w:r>
    </w:p>
    <w:p w:rsidR="001D4F3C" w:rsidRPr="00C2355E" w:rsidRDefault="001D4F3C" w:rsidP="00C235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2355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Assessment of Initial </w:t>
      </w:r>
      <w:proofErr w:type="spellStart"/>
      <w:r w:rsidRPr="00C2355E">
        <w:rPr>
          <w:rFonts w:ascii="Times New Roman" w:hAnsi="Times New Roman" w:cs="Times New Roman"/>
          <w:b/>
          <w:bCs/>
          <w:color w:val="231F20"/>
          <w:sz w:val="24"/>
          <w:szCs w:val="24"/>
        </w:rPr>
        <w:t>Inoculum</w:t>
      </w:r>
      <w:proofErr w:type="spellEnd"/>
      <w:r w:rsidRPr="00C2355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and of Disease</w:t>
      </w:r>
    </w:p>
    <w:p w:rsidR="001D4F3C" w:rsidRPr="00C2355E" w:rsidRDefault="001D4F3C" w:rsidP="00C235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2355E">
        <w:rPr>
          <w:rFonts w:ascii="Times New Roman" w:hAnsi="Times New Roman" w:cs="Times New Roman"/>
          <w:color w:val="231F20"/>
          <w:sz w:val="24"/>
          <w:szCs w:val="24"/>
        </w:rPr>
        <w:t>It is often difficult or impossible, in the absence of the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host, to detect small populations of most pathogens.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2355E">
        <w:rPr>
          <w:rFonts w:ascii="Times New Roman" w:hAnsi="Times New Roman" w:cs="Times New Roman"/>
          <w:color w:val="231F20"/>
          <w:sz w:val="24"/>
          <w:szCs w:val="24"/>
        </w:rPr>
        <w:t>Inoculum</w:t>
      </w:r>
      <w:proofErr w:type="spellEnd"/>
      <w:r w:rsidRP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2355E">
        <w:rPr>
          <w:rFonts w:ascii="Times New Roman" w:hAnsi="Times New Roman" w:cs="Times New Roman"/>
          <w:color w:val="231F20"/>
          <w:sz w:val="24"/>
          <w:szCs w:val="24"/>
        </w:rPr>
        <w:t>propagules</w:t>
      </w:r>
      <w:proofErr w:type="spellEnd"/>
      <w:r w:rsidRPr="00C2355E">
        <w:rPr>
          <w:rFonts w:ascii="Times New Roman" w:hAnsi="Times New Roman" w:cs="Times New Roman"/>
          <w:color w:val="231F20"/>
          <w:sz w:val="24"/>
          <w:szCs w:val="24"/>
        </w:rPr>
        <w:t xml:space="preserve"> of </w:t>
      </w:r>
      <w:proofErr w:type="spellStart"/>
      <w:r w:rsidRPr="00C2355E">
        <w:rPr>
          <w:rFonts w:ascii="Times New Roman" w:hAnsi="Times New Roman" w:cs="Times New Roman"/>
          <w:color w:val="231F20"/>
          <w:sz w:val="24"/>
          <w:szCs w:val="24"/>
        </w:rPr>
        <w:t>soilborne</w:t>
      </w:r>
      <w:proofErr w:type="spellEnd"/>
      <w:r w:rsidRPr="00C2355E">
        <w:rPr>
          <w:rFonts w:ascii="Times New Roman" w:hAnsi="Times New Roman" w:cs="Times New Roman"/>
          <w:color w:val="231F20"/>
          <w:sz w:val="24"/>
          <w:szCs w:val="24"/>
        </w:rPr>
        <w:t xml:space="preserve"> pathogens, such as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fungi and nematodes, are estimated after extraction or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trapping from soil. Airborne fungal spores and insect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vectors are estimated by trapping them in various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devices.</w:t>
      </w:r>
    </w:p>
    <w:p w:rsidR="001D4F3C" w:rsidRPr="00C2355E" w:rsidRDefault="001D4F3C" w:rsidP="00C235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2355E">
        <w:rPr>
          <w:rFonts w:ascii="Times New Roman" w:hAnsi="Times New Roman" w:cs="Times New Roman"/>
          <w:color w:val="231F20"/>
          <w:sz w:val="24"/>
          <w:szCs w:val="24"/>
        </w:rPr>
        <w:t xml:space="preserve">Usually it is easier to assess the amount of 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inoculums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present by measuring the number of infections produced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on a host within a certain period of time. Even in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the presence of a host, however, it is often difficult to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find and measure a small amount of disease. Furthermore,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in many diseases there is an incubation period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during which the host is infected but shows no symptoms.</w:t>
      </w:r>
    </w:p>
    <w:p w:rsidR="001D4F3C" w:rsidRPr="00C2355E" w:rsidRDefault="001D4F3C" w:rsidP="00C235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2355E">
        <w:rPr>
          <w:rFonts w:ascii="Times New Roman" w:hAnsi="Times New Roman" w:cs="Times New Roman"/>
          <w:color w:val="231F20"/>
          <w:sz w:val="24"/>
          <w:szCs w:val="24"/>
        </w:rPr>
        <w:t xml:space="preserve">Aerial photography, using films sensitive to </w:t>
      </w:r>
      <w:proofErr w:type="spellStart"/>
      <w:r w:rsidRPr="00C2355E">
        <w:rPr>
          <w:rFonts w:ascii="Times New Roman" w:hAnsi="Times New Roman" w:cs="Times New Roman"/>
          <w:color w:val="231F20"/>
          <w:sz w:val="24"/>
          <w:szCs w:val="24"/>
        </w:rPr>
        <w:t>nearinfrared</w:t>
      </w:r>
      <w:proofErr w:type="spellEnd"/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radiation, has made possible both earlier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detection and sharper delineation of diseased areas in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crop fields (due to the reduced reflectance of diseased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foliage tissues that are occupied by water or pathogen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cells). However, for many diseases, by the time aerial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photography detects diseased areas in fields, yield loss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has already occurred.</w:t>
      </w:r>
    </w:p>
    <w:p w:rsidR="001D4F3C" w:rsidRPr="00C2355E" w:rsidRDefault="001D4F3C" w:rsidP="00C235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2355E">
        <w:rPr>
          <w:rFonts w:ascii="Times New Roman" w:hAnsi="Times New Roman" w:cs="Times New Roman"/>
          <w:b/>
          <w:bCs/>
          <w:color w:val="231F20"/>
          <w:sz w:val="24"/>
          <w:szCs w:val="24"/>
        </w:rPr>
        <w:t>Monitoring Weather Factors That Affect</w:t>
      </w:r>
    </w:p>
    <w:p w:rsidR="001D4F3C" w:rsidRPr="00C2355E" w:rsidRDefault="001D4F3C" w:rsidP="00C235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2355E">
        <w:rPr>
          <w:rFonts w:ascii="Times New Roman" w:hAnsi="Times New Roman" w:cs="Times New Roman"/>
          <w:b/>
          <w:bCs/>
          <w:color w:val="231F20"/>
          <w:sz w:val="24"/>
          <w:szCs w:val="24"/>
        </w:rPr>
        <w:t>Disease Development</w:t>
      </w:r>
    </w:p>
    <w:p w:rsidR="00C2355E" w:rsidRDefault="001D4F3C" w:rsidP="00C235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2355E">
        <w:rPr>
          <w:rFonts w:ascii="Times New Roman" w:hAnsi="Times New Roman" w:cs="Times New Roman"/>
          <w:color w:val="231F20"/>
          <w:sz w:val="24"/>
          <w:szCs w:val="24"/>
        </w:rPr>
        <w:t>Monitoring weather factors during a plant disease epidemic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presents enormous difficulties. Difficulties arise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from the need for the continuous monitoring of several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different factors (temperature, relative humidity, leaf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wetness, rain, wind, and cloudiness) at various locations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in the crop canopy or on plant surfaces in one or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 xml:space="preserve">more fields. In the past, measurements were made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lastRenderedPageBreak/>
        <w:t>with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mechanical instruments that measured these environmental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variables roughly or infrequently and recorded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data inconveniently as ink traces on chart paper. Since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the 1970s, however, several types of electronic sensors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have been developed that produce electrical outputs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recorded easily by computerized data loggers. Such computerized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sensors are now prevalent in parts of the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United States and of other countries and have improved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studies of weather in relation to disease greatly and have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facilitated the acceptance and use of predictive systems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for disease control on the farm.</w:t>
      </w:r>
    </w:p>
    <w:p w:rsidR="001D4F3C" w:rsidRPr="00C2355E" w:rsidRDefault="001D4F3C" w:rsidP="00C235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2355E">
        <w:rPr>
          <w:rFonts w:ascii="Times New Roman" w:hAnsi="Times New Roman" w:cs="Times New Roman"/>
          <w:color w:val="231F20"/>
          <w:sz w:val="24"/>
          <w:szCs w:val="24"/>
        </w:rPr>
        <w:t>In most parts of the world, however, several types of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traditional and battery-operated electrical instruments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are used to measure various weather factors. Temperature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measurements are made with various types of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 xml:space="preserve">thermometers, </w:t>
      </w:r>
      <w:proofErr w:type="spellStart"/>
      <w:r w:rsidRPr="00C2355E">
        <w:rPr>
          <w:rFonts w:ascii="Times New Roman" w:hAnsi="Times New Roman" w:cs="Times New Roman"/>
          <w:color w:val="231F20"/>
          <w:sz w:val="24"/>
          <w:szCs w:val="24"/>
        </w:rPr>
        <w:t>hygrothermographs</w:t>
      </w:r>
      <w:proofErr w:type="spellEnd"/>
      <w:r w:rsidRPr="00C2355E">
        <w:rPr>
          <w:rFonts w:ascii="Times New Roman" w:hAnsi="Times New Roman" w:cs="Times New Roman"/>
          <w:color w:val="231F20"/>
          <w:sz w:val="24"/>
          <w:szCs w:val="24"/>
        </w:rPr>
        <w:t>, thermocouples, and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 xml:space="preserve">especially with </w:t>
      </w:r>
      <w:proofErr w:type="spellStart"/>
      <w:r w:rsidRPr="00C2355E">
        <w:rPr>
          <w:rFonts w:ascii="Times New Roman" w:hAnsi="Times New Roman" w:cs="Times New Roman"/>
          <w:color w:val="231F20"/>
          <w:sz w:val="24"/>
          <w:szCs w:val="24"/>
        </w:rPr>
        <w:t>thermistors</w:t>
      </w:r>
      <w:proofErr w:type="spellEnd"/>
      <w:r w:rsidRPr="00C2355E">
        <w:rPr>
          <w:rFonts w:ascii="Times New Roman" w:hAnsi="Times New Roman" w:cs="Times New Roman"/>
          <w:color w:val="231F20"/>
          <w:sz w:val="24"/>
          <w:szCs w:val="24"/>
        </w:rPr>
        <w:t xml:space="preserve"> (the latter are semiconductors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whose electrical resistance changes considerably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with temperature). Relative humidity measurements are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 xml:space="preserve">made with a </w:t>
      </w:r>
      <w:proofErr w:type="spellStart"/>
      <w:r w:rsidRPr="00C2355E">
        <w:rPr>
          <w:rFonts w:ascii="Times New Roman" w:hAnsi="Times New Roman" w:cs="Times New Roman"/>
          <w:color w:val="231F20"/>
          <w:sz w:val="24"/>
          <w:szCs w:val="24"/>
        </w:rPr>
        <w:t>hygrothermograph</w:t>
      </w:r>
      <w:proofErr w:type="spellEnd"/>
      <w:r w:rsidRPr="00C2355E">
        <w:rPr>
          <w:rFonts w:ascii="Times New Roman" w:hAnsi="Times New Roman" w:cs="Times New Roman"/>
          <w:color w:val="231F20"/>
          <w:sz w:val="24"/>
          <w:szCs w:val="24"/>
        </w:rPr>
        <w:t xml:space="preserve"> (which depends on the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contraction and expansion of human hair in relation to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 xml:space="preserve">relative humidity changes), with a ventilated </w:t>
      </w:r>
      <w:proofErr w:type="spellStart"/>
      <w:r w:rsidRPr="00C2355E">
        <w:rPr>
          <w:rFonts w:ascii="Times New Roman" w:hAnsi="Times New Roman" w:cs="Times New Roman"/>
          <w:color w:val="231F20"/>
          <w:sz w:val="24"/>
          <w:szCs w:val="24"/>
        </w:rPr>
        <w:t>psychrometer</w:t>
      </w:r>
      <w:proofErr w:type="spellEnd"/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(consisting of a wet and dry bulb thermometer or a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 xml:space="preserve">wet and dry </w:t>
      </w:r>
      <w:proofErr w:type="spellStart"/>
      <w:r w:rsidRPr="00C2355E">
        <w:rPr>
          <w:rFonts w:ascii="Times New Roman" w:hAnsi="Times New Roman" w:cs="Times New Roman"/>
          <w:color w:val="231F20"/>
          <w:sz w:val="24"/>
          <w:szCs w:val="24"/>
        </w:rPr>
        <w:t>thermistor</w:t>
      </w:r>
      <w:proofErr w:type="spellEnd"/>
      <w:r w:rsidRPr="00C2355E">
        <w:rPr>
          <w:rFonts w:ascii="Times New Roman" w:hAnsi="Times New Roman" w:cs="Times New Roman"/>
          <w:color w:val="231F20"/>
          <w:sz w:val="24"/>
          <w:szCs w:val="24"/>
        </w:rPr>
        <w:t>), or with an electrode-bonding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2355E">
        <w:rPr>
          <w:rFonts w:ascii="Times New Roman" w:hAnsi="Times New Roman" w:cs="Times New Roman"/>
          <w:color w:val="231F20"/>
          <w:sz w:val="24"/>
          <w:szCs w:val="24"/>
        </w:rPr>
        <w:t>sulfonated</w:t>
      </w:r>
      <w:proofErr w:type="spellEnd"/>
      <w:r w:rsidRPr="00C2355E">
        <w:rPr>
          <w:rFonts w:ascii="Times New Roman" w:hAnsi="Times New Roman" w:cs="Times New Roman"/>
          <w:color w:val="231F20"/>
          <w:sz w:val="24"/>
          <w:szCs w:val="24"/>
        </w:rPr>
        <w:t xml:space="preserve"> polystyrene plate (whose resistance changes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logarithmically with relative humidity). Leaf wetness is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monitored with string-type sensors that constrict when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 xml:space="preserve">moistened or slacken when dry and either </w:t>
      </w:r>
      <w:proofErr w:type="gramStart"/>
      <w:r w:rsidRPr="00C2355E">
        <w:rPr>
          <w:rFonts w:ascii="Times New Roman" w:hAnsi="Times New Roman" w:cs="Times New Roman"/>
          <w:color w:val="231F20"/>
          <w:sz w:val="24"/>
          <w:szCs w:val="24"/>
        </w:rPr>
        <w:t>leave</w:t>
      </w:r>
      <w:proofErr w:type="gramEnd"/>
      <w:r w:rsidRPr="00C2355E">
        <w:rPr>
          <w:rFonts w:ascii="Times New Roman" w:hAnsi="Times New Roman" w:cs="Times New Roman"/>
          <w:color w:val="231F20"/>
          <w:sz w:val="24"/>
          <w:szCs w:val="24"/>
        </w:rPr>
        <w:t xml:space="preserve"> an ink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trace in the process or close or break an electrical circuit.</w:t>
      </w:r>
    </w:p>
    <w:p w:rsidR="001D4F3C" w:rsidRPr="00C2355E" w:rsidRDefault="001D4F3C" w:rsidP="00C235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2355E">
        <w:rPr>
          <w:rFonts w:ascii="Times New Roman" w:hAnsi="Times New Roman" w:cs="Times New Roman"/>
          <w:color w:val="231F20"/>
          <w:sz w:val="24"/>
          <w:szCs w:val="24"/>
        </w:rPr>
        <w:t>Several types of electrical wetness sensors are available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that can be either clipped onto leaves or placed among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the leaves; they detect and measure the duration of rain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or dew because either of the latter helps close the circuit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between two pairs of electrodes. Rain, wind, and cloudiness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(irradiance) are still measured by traditional instruments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(rain funnels and tipping-bucket gauges for rain,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cups and thermal anemometers for wind speed, vanes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 xml:space="preserve">for wind direction, and </w:t>
      </w:r>
      <w:proofErr w:type="spellStart"/>
      <w:r w:rsidRPr="00C2355E">
        <w:rPr>
          <w:rFonts w:ascii="Times New Roman" w:hAnsi="Times New Roman" w:cs="Times New Roman"/>
          <w:color w:val="231F20"/>
          <w:sz w:val="24"/>
          <w:szCs w:val="24"/>
        </w:rPr>
        <w:t>pyranometers</w:t>
      </w:r>
      <w:proofErr w:type="spellEnd"/>
      <w:r w:rsidRPr="00C2355E">
        <w:rPr>
          <w:rFonts w:ascii="Times New Roman" w:hAnsi="Times New Roman" w:cs="Times New Roman"/>
          <w:color w:val="231F20"/>
          <w:sz w:val="24"/>
          <w:szCs w:val="24"/>
        </w:rPr>
        <w:t xml:space="preserve"> for irradiance).</w:t>
      </w:r>
    </w:p>
    <w:p w:rsidR="001D4F3C" w:rsidRPr="00C2355E" w:rsidRDefault="001D4F3C" w:rsidP="00C235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2355E">
        <w:rPr>
          <w:rFonts w:ascii="Times New Roman" w:hAnsi="Times New Roman" w:cs="Times New Roman"/>
          <w:color w:val="231F20"/>
          <w:sz w:val="24"/>
          <w:szCs w:val="24"/>
        </w:rPr>
        <w:t>Several of these instruments, however, have become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adapted for electronic monitoring.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In modern weather-monitoring systems, the weather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sensors are connected to data-logging devices. Data may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be read on a digital display or be transmitted to a cassette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tape recorder or a printer. From the cassette, data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may be transferred to a microcomputer. There they may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be viewed, processed in several computer languages,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organized into separate matrices for each weather variable,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plotted, and analyzed. Depending on the particular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disease model used, accurate weather information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 xml:space="preserve">provides the most useful basis to predict </w:t>
      </w:r>
      <w:proofErr w:type="spellStart"/>
      <w:r w:rsidRPr="00C2355E">
        <w:rPr>
          <w:rFonts w:ascii="Times New Roman" w:hAnsi="Times New Roman" w:cs="Times New Roman"/>
          <w:color w:val="231F20"/>
          <w:sz w:val="24"/>
          <w:szCs w:val="24"/>
        </w:rPr>
        <w:t>sporulation</w:t>
      </w:r>
      <w:proofErr w:type="spellEnd"/>
      <w:r w:rsidRPr="00C2355E">
        <w:rPr>
          <w:rFonts w:ascii="Times New Roman" w:hAnsi="Times New Roman" w:cs="Times New Roman"/>
          <w:color w:val="231F20"/>
          <w:sz w:val="24"/>
          <w:szCs w:val="24"/>
        </w:rPr>
        <w:t xml:space="preserve"> and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 xml:space="preserve">infection and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lastRenderedPageBreak/>
        <w:t>therefore provides the best warning to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time disease management practices, such as the application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of fungicides.</w:t>
      </w:r>
    </w:p>
    <w:p w:rsidR="001D4F3C" w:rsidRPr="00C2355E" w:rsidRDefault="001D4F3C" w:rsidP="00C235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2355E">
        <w:rPr>
          <w:rFonts w:ascii="Times New Roman" w:hAnsi="Times New Roman" w:cs="Times New Roman"/>
          <w:color w:val="231F20"/>
          <w:sz w:val="24"/>
          <w:szCs w:val="24"/>
        </w:rPr>
        <w:t>The cost of purchase of automated weather systems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(AWS) and the required time for operation and maintenance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discourage their use by individual farmers,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leading to the development of low-cost, automated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weather instruments or stand-alone packages or to the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c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reation and sharing of regional automated weather</w:t>
      </w:r>
      <w:r w:rsidR="00C2355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355E">
        <w:rPr>
          <w:rFonts w:ascii="Times New Roman" w:hAnsi="Times New Roman" w:cs="Times New Roman"/>
          <w:color w:val="231F20"/>
          <w:sz w:val="24"/>
          <w:szCs w:val="24"/>
        </w:rPr>
        <w:t>systems.</w:t>
      </w:r>
    </w:p>
    <w:sectPr w:rsidR="001D4F3C" w:rsidRPr="00C2355E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218"/>
    <w:rsid w:val="000202EC"/>
    <w:rsid w:val="000B01D0"/>
    <w:rsid w:val="001D4F3C"/>
    <w:rsid w:val="001D7CDE"/>
    <w:rsid w:val="00250B6F"/>
    <w:rsid w:val="0045359B"/>
    <w:rsid w:val="0048367E"/>
    <w:rsid w:val="00495218"/>
    <w:rsid w:val="00737196"/>
    <w:rsid w:val="00774348"/>
    <w:rsid w:val="00775735"/>
    <w:rsid w:val="00A35792"/>
    <w:rsid w:val="00B51AE0"/>
    <w:rsid w:val="00C2355E"/>
    <w:rsid w:val="00C75C03"/>
    <w:rsid w:val="00C84AC2"/>
    <w:rsid w:val="00CD6CF1"/>
    <w:rsid w:val="00F430FB"/>
    <w:rsid w:val="00FF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1627</Words>
  <Characters>9277</Characters>
  <Application>Microsoft Office Word</Application>
  <DocSecurity>0</DocSecurity>
  <Lines>77</Lines>
  <Paragraphs>21</Paragraphs>
  <ScaleCrop>false</ScaleCrop>
  <Company/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2020-05-02T14:39:00Z</dcterms:created>
  <dcterms:modified xsi:type="dcterms:W3CDTF">2020-05-02T14:39:00Z</dcterms:modified>
</cp:coreProperties>
</file>