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>COMPARISON OF EPIDEMICS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>For better comparison of epidemics of the same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at different times, different locations, or under different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management practices or to compare different diseases,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the patterns obtained for disease–progress curves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and disease–gradient curves are frequently transformed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mathematically into straight lines. The slopes of 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lines can then be used to calculate epidemic rates.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In monocyclic diseases, the amount of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does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not increase significantly during the season. In such diseases,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therefore, the rate of disease increase is affected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only by the inherent ability of the pathogen to induce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disease and by the ability of the environmental factors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and cultural practices to influence host resistance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the virulence of the pathogen.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In contrast, the initial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for diseases caused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by polycyclic pathogens, although extremely important,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has relatively less importance than the number of infection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cycles in the final disease outcome.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Pathogens that have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many infection cycles also have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numerous opportunities to interact with the host. Therefore,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the same factors mentioned earlier, namely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inherent ability of the pathogen to induce disease, environmental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factors, host resistance, and cultural practices,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have an opportunity to influence the dispersal,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penetration, multiplication, size of lesion, rate of lesion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formation, and rate and amount of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sporulation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>, but they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can do that not once but several times during the same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growth season. The continuous or, sometimes, intermittent increase of the amount of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and disease may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result in highly variable infection rates for individual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short-term intervals during the growth season, and quite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variable epidemic rates for the entire season.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>The epidemic rate for polycyclic diseases is usually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calculated per day or per week rather than per year,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which is the way it is calculated for monocyclic diseases.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In general, the epidemic rate (</w:t>
      </w:r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) for polycyclic diseases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is much greater than the rate of epidemic increase (</w:t>
      </w:r>
      <w:proofErr w:type="spellStart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rm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for monocyclic diseases. For example, the </w:t>
      </w:r>
      <w:proofErr w:type="spellStart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rm</w:t>
      </w:r>
      <w:proofErr w:type="spellEnd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for </w:t>
      </w:r>
      <w:proofErr w:type="spellStart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Verticillium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wilt of cotton is 0.02 units per day and is 1.60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units per year for </w:t>
      </w:r>
      <w:proofErr w:type="spellStart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Phymatotrichum</w:t>
      </w:r>
      <w:proofErr w:type="spellEnd"/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root rot of cotton.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In contrast, the epidemic rate </w:t>
      </w:r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for potato late blight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0.3–0.5 units per day, is 0.3–0.6 units per day for wheat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stem rust and 0.15 units per day for cucumber mosaic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virus.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In addition to the epidemics caused by monocyclic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and polycyclic pathogens, there are also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epidemics. Pathogens causing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epidemics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present for one year or more in the infected plant before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they produce effective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>, e.g., some fungal wilts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and viral and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mollicute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diseases of trees. Because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perennial nature of their hosts,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diseases behave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basically as polycyclic diseases with a lower </w:t>
      </w:r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. This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happens because there are as many diseased trees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almost as much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at the beginning of a year 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at the end of the previous one, and both increase over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the years, causing slower but just as severe epidemics.</w:t>
      </w:r>
    </w:p>
    <w:p w:rsidR="00A35792" w:rsidRPr="00A35792" w:rsidRDefault="00A35792" w:rsidP="00A3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Some well-known 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polyetic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 xml:space="preserve"> epidemics are chestnut blight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3579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= 0.3–1.2 units per year) and elm yellows (</w:t>
      </w:r>
      <w:proofErr w:type="spellStart"/>
      <w:r w:rsidRPr="00A35792">
        <w:rPr>
          <w:rFonts w:ascii="Times New Roman" w:hAnsi="Times New Roman" w:cs="Times New Roman"/>
          <w:color w:val="231F20"/>
          <w:sz w:val="24"/>
          <w:szCs w:val="24"/>
        </w:rPr>
        <w:t>phytoplasma</w:t>
      </w:r>
      <w:proofErr w:type="spellEnd"/>
      <w:r w:rsidRPr="00A35792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35792">
        <w:rPr>
          <w:rFonts w:ascii="Times New Roman" w:hAnsi="Times New Roman" w:cs="Times New Roman"/>
          <w:color w:val="231F20"/>
          <w:sz w:val="24"/>
          <w:szCs w:val="24"/>
        </w:rPr>
        <w:t>(0.6 units per year).</w:t>
      </w:r>
    </w:p>
    <w:sectPr w:rsidR="00A35792" w:rsidRPr="00A35792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B01D0"/>
    <w:rsid w:val="001D7CDE"/>
    <w:rsid w:val="00250B6F"/>
    <w:rsid w:val="0045359B"/>
    <w:rsid w:val="0048367E"/>
    <w:rsid w:val="00495218"/>
    <w:rsid w:val="00774348"/>
    <w:rsid w:val="00A35792"/>
    <w:rsid w:val="00C75C03"/>
    <w:rsid w:val="00C84AC2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2020-05-02T12:47:00Z</dcterms:created>
  <dcterms:modified xsi:type="dcterms:W3CDTF">2020-05-02T12:47:00Z</dcterms:modified>
</cp:coreProperties>
</file>