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9B" w:rsidRPr="0045359B" w:rsidRDefault="0045359B" w:rsidP="004535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45359B">
        <w:rPr>
          <w:rFonts w:ascii="Times New Roman" w:hAnsi="Times New Roman" w:cs="Times New Roman"/>
          <w:b/>
          <w:color w:val="231F20"/>
          <w:sz w:val="24"/>
          <w:szCs w:val="24"/>
        </w:rPr>
        <w:t>MEASUREMENT OF PLANT DISEASE AND OF YIELD LOSS</w:t>
      </w:r>
    </w:p>
    <w:p w:rsidR="0045359B" w:rsidRPr="0045359B" w:rsidRDefault="0045359B" w:rsidP="0045359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5359B">
        <w:rPr>
          <w:rFonts w:ascii="Times New Roman" w:hAnsi="Times New Roman" w:cs="Times New Roman"/>
          <w:color w:val="231F20"/>
          <w:sz w:val="24"/>
          <w:szCs w:val="24"/>
        </w:rPr>
        <w:t>When measuring disease, one is interested in measuring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 xml:space="preserve">(1) the </w:t>
      </w:r>
      <w:r w:rsidRPr="0045359B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incidence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>of the disease, i.e., the number or proportion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>of plant units that are diseased (i.e., the number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>or proportion of plants, leaves, stems, and fruit that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>show any symptoms) in relation to the total number of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 xml:space="preserve">units examined; (2) the </w:t>
      </w:r>
      <w:r w:rsidRPr="0045359B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severity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>of the disease, i.e.,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>proportion of area or amount of plant tissue that is diseased;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 xml:space="preserve">and (3) the </w:t>
      </w:r>
      <w:r w:rsidRPr="0045359B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yield loss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>caused by the disease, i.e.,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>the proportion of the yield that the grower will not be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>able to harvest because the disease destroyed it directly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>or prevented the plants from producing it (the yield loss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 xml:space="preserve">is the difference between </w:t>
      </w:r>
      <w:r w:rsidRPr="0045359B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attainable yield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 xml:space="preserve">and </w:t>
      </w:r>
      <w:r w:rsidRPr="0045359B">
        <w:rPr>
          <w:rFonts w:ascii="Times New Roman" w:hAnsi="Times New Roman" w:cs="Times New Roman"/>
          <w:b/>
          <w:bCs/>
          <w:color w:val="231F20"/>
          <w:sz w:val="24"/>
          <w:szCs w:val="24"/>
        </w:rPr>
        <w:t>actual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359B">
        <w:rPr>
          <w:rFonts w:ascii="Times New Roman" w:hAnsi="Times New Roman" w:cs="Times New Roman"/>
          <w:b/>
          <w:bCs/>
          <w:color w:val="231F20"/>
          <w:sz w:val="24"/>
          <w:szCs w:val="24"/>
        </w:rPr>
        <w:t>yield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>).</w:t>
      </w:r>
    </w:p>
    <w:p w:rsidR="0045359B" w:rsidRPr="0045359B" w:rsidRDefault="0045359B" w:rsidP="004535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5359B">
        <w:rPr>
          <w:rFonts w:ascii="Times New Roman" w:hAnsi="Times New Roman" w:cs="Times New Roman"/>
          <w:color w:val="231F20"/>
          <w:sz w:val="24"/>
          <w:szCs w:val="24"/>
        </w:rPr>
        <w:t>Measuring disease incidence is relatively quick and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>easy, and this measurement is the one tha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t is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>used commonly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>in epidemiological studies to measure the spread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>of a disease through a field, region, or country. In a few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>cases, such as cereal smuts, neck blast of rice, brown rot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>of stone fruits, and the vascular wilts of annuals, disease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>incidence has a direct relationship to the severity of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>disease and yield loss because each diseased plant or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>fruit is a total loss. However, in many other diseases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>(such as most leaf spots, 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oot lesions, and rusts) in which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>plants are counted as diseased whether they are exhibiting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>a single lesion or hundreds of lesions, disease incidence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>may have little relationship to the severity of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>disease or to yield loss. Although severity and yield loss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>are of much greater importance to the grower than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>disease incidence, their measurement is more difficult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>and, in some cases, not possible until too late in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>development of an epidemic.</w:t>
      </w:r>
    </w:p>
    <w:p w:rsidR="0045359B" w:rsidRPr="0045359B" w:rsidRDefault="0045359B" w:rsidP="004535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5359B">
        <w:rPr>
          <w:rFonts w:ascii="Times New Roman" w:hAnsi="Times New Roman" w:cs="Times New Roman"/>
          <w:color w:val="231F20"/>
          <w:sz w:val="24"/>
          <w:szCs w:val="24"/>
        </w:rPr>
        <w:t>Disease severity is usually expressed as the percentage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>or proportion of plant area or fruit volume destroyed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 xml:space="preserve">by </w:t>
      </w:r>
      <w:r>
        <w:rPr>
          <w:rFonts w:ascii="Times New Roman" w:hAnsi="Times New Roman" w:cs="Times New Roman"/>
          <w:color w:val="231F20"/>
          <w:sz w:val="24"/>
          <w:szCs w:val="24"/>
        </w:rPr>
        <w:t>a pathogen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>. More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>often, disease assessment scales from 0 to 10 or 1 to 4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>are used to express the relative proportions of affected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>tissue at a particular point in time. Yield loss due to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>disease is measured at a specific growth stage, from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>sequential disease assessments at several stages of a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 xml:space="preserve">crop’s growth, or by determining the </w:t>
      </w:r>
      <w:r w:rsidRPr="0045359B">
        <w:rPr>
          <w:rFonts w:ascii="Times New Roman" w:hAnsi="Times New Roman" w:cs="Times New Roman"/>
          <w:b/>
          <w:bCs/>
          <w:color w:val="231F20"/>
          <w:sz w:val="24"/>
          <w:szCs w:val="24"/>
        </w:rPr>
        <w:t>area under a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359B">
        <w:rPr>
          <w:rFonts w:ascii="Times New Roman" w:hAnsi="Times New Roman" w:cs="Times New Roman"/>
          <w:b/>
          <w:bCs/>
          <w:color w:val="231F20"/>
          <w:sz w:val="24"/>
          <w:szCs w:val="24"/>
        </w:rPr>
        <w:t>disease progress curve (AUDPC)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>, i.e., the area between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 xml:space="preserve">the disease progress curve and the </w:t>
      </w:r>
      <w:r w:rsidRPr="0045359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X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>axis of the graph.</w:t>
      </w:r>
    </w:p>
    <w:p w:rsidR="0045359B" w:rsidRPr="0045359B" w:rsidRDefault="0045359B" w:rsidP="004535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5359B">
        <w:rPr>
          <w:rFonts w:ascii="Times New Roman" w:hAnsi="Times New Roman" w:cs="Times New Roman"/>
          <w:color w:val="231F20"/>
          <w:sz w:val="24"/>
          <w:szCs w:val="24"/>
        </w:rPr>
        <w:t>The area under the disease progress curve is used to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>summarize the progress of disease severity and is calculated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>by a formula that takes into account the number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>of times the disease severity was evaluated, the disease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>severity at each evaluation time, and the time duration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>of the epidemic.</w:t>
      </w:r>
    </w:p>
    <w:p w:rsidR="0045359B" w:rsidRPr="0045359B" w:rsidRDefault="0045359B" w:rsidP="004535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45359B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Yield loss almost always results in </w:t>
      </w:r>
      <w:r w:rsidRPr="0045359B">
        <w:rPr>
          <w:rFonts w:ascii="Times New Roman" w:hAnsi="Times New Roman" w:cs="Times New Roman"/>
          <w:b/>
          <w:bCs/>
          <w:color w:val="231F20"/>
          <w:sz w:val="24"/>
          <w:szCs w:val="24"/>
        </w:rPr>
        <w:t>economic loss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>from disease. Economic loss occurs whenever economic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>returns from the crop decrease because of reduced yields, because of the cost of agricultural activities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>undertaken to reduce damage to the crop, or both. In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>managing plant diseases, however, the grower can justify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>applying disease control measures only when the incremental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>costs of control are generally smaller than the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>increase in crop returns. The level of disease, i.e., the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>amount of plant damage, at which control costs just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 xml:space="preserve">equal incremental crop returns is called the </w:t>
      </w:r>
      <w:r w:rsidRPr="0045359B">
        <w:rPr>
          <w:rFonts w:ascii="Times New Roman" w:hAnsi="Times New Roman" w:cs="Times New Roman"/>
          <w:b/>
          <w:bCs/>
          <w:color w:val="231F20"/>
          <w:sz w:val="24"/>
          <w:szCs w:val="24"/>
        </w:rPr>
        <w:t>economic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45359B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threshold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>of the disease. The economic threshold of a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>crop–pathogen system varies with the tolerance level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45359B">
        <w:rPr>
          <w:rFonts w:ascii="Times New Roman" w:hAnsi="Times New Roman" w:cs="Times New Roman"/>
          <w:b/>
          <w:bCs/>
          <w:color w:val="231F20"/>
          <w:sz w:val="24"/>
          <w:szCs w:val="24"/>
        </w:rPr>
        <w:t>damage threshold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>) of the crop, which depends on the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>growth stage of the crop when attacked, crop management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>practices, environment, shifts in pathogen virulence,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>and new control practices. The economic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>threshold also varies with changing commodity prices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45359B">
        <w:rPr>
          <w:rFonts w:ascii="Times New Roman" w:hAnsi="Times New Roman" w:cs="Times New Roman"/>
          <w:color w:val="231F20"/>
          <w:sz w:val="24"/>
          <w:szCs w:val="24"/>
        </w:rPr>
        <w:t>and control costs.</w:t>
      </w:r>
    </w:p>
    <w:sectPr w:rsidR="0045359B" w:rsidRPr="0045359B" w:rsidSect="001D7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5218"/>
    <w:rsid w:val="001D7CDE"/>
    <w:rsid w:val="00250B6F"/>
    <w:rsid w:val="0045359B"/>
    <w:rsid w:val="0048367E"/>
    <w:rsid w:val="00495218"/>
    <w:rsid w:val="00774348"/>
    <w:rsid w:val="00C75C03"/>
    <w:rsid w:val="00C84AC2"/>
    <w:rsid w:val="00FF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Ahmad</dc:creator>
  <cp:lastModifiedBy>Dr Ahmad</cp:lastModifiedBy>
  <cp:revision>2</cp:revision>
  <dcterms:created xsi:type="dcterms:W3CDTF">2020-05-02T11:54:00Z</dcterms:created>
  <dcterms:modified xsi:type="dcterms:W3CDTF">2020-05-02T11:54:00Z</dcterms:modified>
</cp:coreProperties>
</file>