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AB0" w:rsidRPr="00502AB0" w:rsidRDefault="00502AB0" w:rsidP="00502AB0">
      <w:pPr>
        <w:pBdr>
          <w:top w:val="single" w:sz="6" w:space="15" w:color="E1E1E1"/>
        </w:pBdr>
        <w:shd w:val="clear" w:color="auto" w:fill="FFFFFF"/>
        <w:spacing w:after="300" w:line="570" w:lineRule="atLeast"/>
        <w:textAlignment w:val="baseline"/>
        <w:outlineLvl w:val="1"/>
        <w:rPr>
          <w:rFonts w:ascii="Georgia" w:eastAsia="Times New Roman" w:hAnsi="Georgia" w:cs="Times New Roman"/>
          <w:color w:val="333333"/>
          <w:sz w:val="54"/>
          <w:szCs w:val="54"/>
          <w:lang w:val="en-GB" w:eastAsia="en-GB"/>
        </w:rPr>
      </w:pPr>
      <w:r w:rsidRPr="00502AB0">
        <w:rPr>
          <w:rFonts w:ascii="Georgia" w:eastAsia="Times New Roman" w:hAnsi="Georgia" w:cs="Times New Roman"/>
          <w:color w:val="333333"/>
          <w:sz w:val="54"/>
          <w:szCs w:val="54"/>
          <w:lang w:val="en-GB" w:eastAsia="en-GB"/>
        </w:rPr>
        <w:t>Double Entry and the Accrual Basis of Accounting</w:t>
      </w:r>
    </w:p>
    <w:p w:rsidR="00502AB0" w:rsidRPr="00502AB0" w:rsidRDefault="00502AB0" w:rsidP="00502AB0">
      <w:pPr>
        <w:shd w:val="clear" w:color="auto" w:fill="FFFFFF"/>
        <w:spacing w:after="30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At the heart of financial accounting is the system known as double entry bookkeeping (or "double entry accounting"). Each financial transaction that a company makes is recorded by using this system.</w:t>
      </w:r>
    </w:p>
    <w:p w:rsidR="00502AB0" w:rsidRPr="00502AB0" w:rsidRDefault="00502AB0" w:rsidP="00502AB0">
      <w:p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The term "double entry" means that every transaction affects at least two accounts. For example, if a company borrows $50,000 from its bank, the company's </w:t>
      </w:r>
      <w:hyperlink r:id="rId5" w:history="1">
        <w:r w:rsidRPr="00502AB0">
          <w:rPr>
            <w:rFonts w:ascii="inherit" w:eastAsia="Times New Roman" w:hAnsi="inherit" w:cs="Helvetica"/>
            <w:color w:val="333333"/>
            <w:sz w:val="21"/>
            <w:szCs w:val="21"/>
            <w:u w:val="single"/>
            <w:bdr w:val="none" w:sz="0" w:space="0" w:color="auto" w:frame="1"/>
            <w:lang w:val="en-GB" w:eastAsia="en-GB"/>
          </w:rPr>
          <w:t>Cash</w:t>
        </w:r>
      </w:hyperlink>
      <w:r w:rsidRPr="00502AB0">
        <w:rPr>
          <w:rFonts w:ascii="Helvetica" w:eastAsia="Times New Roman" w:hAnsi="Helvetica" w:cs="Helvetica"/>
          <w:color w:val="333333"/>
          <w:sz w:val="21"/>
          <w:szCs w:val="21"/>
          <w:bdr w:val="none" w:sz="0" w:space="0" w:color="auto" w:frame="1"/>
          <w:lang w:val="en-GB" w:eastAsia="en-GB"/>
        </w:rPr>
        <w:t> </w:t>
      </w:r>
      <w:r w:rsidRPr="00502AB0">
        <w:rPr>
          <w:rFonts w:ascii="Helvetica" w:eastAsia="Times New Roman" w:hAnsi="Helvetica" w:cs="Helvetica"/>
          <w:color w:val="333333"/>
          <w:sz w:val="21"/>
          <w:szCs w:val="21"/>
          <w:lang w:val="en-GB" w:eastAsia="en-GB"/>
        </w:rPr>
        <w:t>account increases, and the company's </w:t>
      </w:r>
      <w:hyperlink r:id="rId6" w:history="1">
        <w:r w:rsidRPr="00502AB0">
          <w:rPr>
            <w:rFonts w:ascii="inherit" w:eastAsia="Times New Roman" w:hAnsi="inherit" w:cs="Helvetica"/>
            <w:color w:val="333333"/>
            <w:sz w:val="21"/>
            <w:szCs w:val="21"/>
            <w:u w:val="single"/>
            <w:bdr w:val="none" w:sz="0" w:space="0" w:color="auto" w:frame="1"/>
            <w:lang w:val="en-GB" w:eastAsia="en-GB"/>
          </w:rPr>
          <w:t>Notes Payable</w:t>
        </w:r>
      </w:hyperlink>
      <w:r w:rsidRPr="00502AB0">
        <w:rPr>
          <w:rFonts w:ascii="Helvetica" w:eastAsia="Times New Roman" w:hAnsi="Helvetica" w:cs="Helvetica"/>
          <w:color w:val="333333"/>
          <w:sz w:val="21"/>
          <w:szCs w:val="21"/>
          <w:bdr w:val="none" w:sz="0" w:space="0" w:color="auto" w:frame="1"/>
          <w:lang w:val="en-GB" w:eastAsia="en-GB"/>
        </w:rPr>
        <w:t> </w:t>
      </w:r>
      <w:r w:rsidRPr="00502AB0">
        <w:rPr>
          <w:rFonts w:ascii="Helvetica" w:eastAsia="Times New Roman" w:hAnsi="Helvetica" w:cs="Helvetica"/>
          <w:color w:val="333333"/>
          <w:sz w:val="21"/>
          <w:szCs w:val="21"/>
          <w:lang w:val="en-GB" w:eastAsia="en-GB"/>
        </w:rPr>
        <w:t>account increases. Double entry also means that one of the accounts must have an amount entered as a </w:t>
      </w:r>
      <w:hyperlink r:id="rId7" w:history="1">
        <w:r w:rsidRPr="00502AB0">
          <w:rPr>
            <w:rFonts w:ascii="inherit" w:eastAsia="Times New Roman" w:hAnsi="inherit" w:cs="Helvetica"/>
            <w:color w:val="333333"/>
            <w:sz w:val="21"/>
            <w:szCs w:val="21"/>
            <w:u w:val="single"/>
            <w:bdr w:val="none" w:sz="0" w:space="0" w:color="auto" w:frame="1"/>
            <w:lang w:val="en-GB" w:eastAsia="en-GB"/>
          </w:rPr>
          <w:t>debit</w:t>
        </w:r>
      </w:hyperlink>
      <w:r w:rsidRPr="00502AB0">
        <w:rPr>
          <w:rFonts w:ascii="Helvetica" w:eastAsia="Times New Roman" w:hAnsi="Helvetica" w:cs="Helvetica"/>
          <w:color w:val="333333"/>
          <w:sz w:val="21"/>
          <w:szCs w:val="21"/>
          <w:lang w:val="en-GB" w:eastAsia="en-GB"/>
        </w:rPr>
        <w:t>, and one of the accounts must have an amount entered as a </w:t>
      </w:r>
      <w:hyperlink r:id="rId8" w:history="1">
        <w:r w:rsidRPr="00502AB0">
          <w:rPr>
            <w:rFonts w:ascii="inherit" w:eastAsia="Times New Roman" w:hAnsi="inherit" w:cs="Helvetica"/>
            <w:color w:val="333333"/>
            <w:sz w:val="21"/>
            <w:szCs w:val="21"/>
            <w:u w:val="single"/>
            <w:bdr w:val="none" w:sz="0" w:space="0" w:color="auto" w:frame="1"/>
            <w:lang w:val="en-GB" w:eastAsia="en-GB"/>
          </w:rPr>
          <w:t>credit</w:t>
        </w:r>
      </w:hyperlink>
      <w:r w:rsidRPr="00502AB0">
        <w:rPr>
          <w:rFonts w:ascii="Helvetica" w:eastAsia="Times New Roman" w:hAnsi="Helvetica" w:cs="Helvetica"/>
          <w:color w:val="333333"/>
          <w:sz w:val="21"/>
          <w:szCs w:val="21"/>
          <w:bdr w:val="none" w:sz="0" w:space="0" w:color="auto" w:frame="1"/>
          <w:lang w:val="en-GB" w:eastAsia="en-GB"/>
        </w:rPr>
        <w:t>.</w:t>
      </w:r>
      <w:r w:rsidRPr="00502AB0">
        <w:rPr>
          <w:rFonts w:ascii="Helvetica" w:eastAsia="Times New Roman" w:hAnsi="Helvetica" w:cs="Helvetica"/>
          <w:color w:val="333333"/>
          <w:sz w:val="21"/>
          <w:szCs w:val="21"/>
          <w:lang w:val="en-GB" w:eastAsia="en-GB"/>
        </w:rPr>
        <w:t> For any given transaction, the debit amount must equal the credit amount. (To learn more about debits and credits, see </w:t>
      </w:r>
      <w:hyperlink r:id="rId9" w:history="1">
        <w:r w:rsidRPr="00502AB0">
          <w:rPr>
            <w:rFonts w:ascii="inherit" w:eastAsia="Times New Roman" w:hAnsi="inherit" w:cs="Helvetica"/>
            <w:b/>
            <w:bCs/>
            <w:color w:val="4185B1"/>
            <w:sz w:val="21"/>
            <w:szCs w:val="21"/>
            <w:u w:val="single"/>
            <w:bdr w:val="none" w:sz="0" w:space="0" w:color="auto" w:frame="1"/>
            <w:lang w:val="en-GB" w:eastAsia="en-GB"/>
          </w:rPr>
          <w:t>Explanation of Debits &amp; Credits</w:t>
        </w:r>
      </w:hyperlink>
      <w:r w:rsidRPr="00502AB0">
        <w:rPr>
          <w:rFonts w:ascii="Helvetica" w:eastAsia="Times New Roman" w:hAnsi="Helvetica" w:cs="Helvetica"/>
          <w:color w:val="333333"/>
          <w:sz w:val="21"/>
          <w:szCs w:val="21"/>
          <w:bdr w:val="none" w:sz="0" w:space="0" w:color="auto" w:frame="1"/>
          <w:lang w:val="en-GB" w:eastAsia="en-GB"/>
        </w:rPr>
        <w:t>.</w:t>
      </w:r>
      <w:r w:rsidRPr="00502AB0">
        <w:rPr>
          <w:rFonts w:ascii="Helvetica" w:eastAsia="Times New Roman" w:hAnsi="Helvetica" w:cs="Helvetica"/>
          <w:color w:val="333333"/>
          <w:sz w:val="21"/>
          <w:szCs w:val="21"/>
          <w:lang w:val="en-GB" w:eastAsia="en-GB"/>
        </w:rPr>
        <w:t>)</w:t>
      </w:r>
    </w:p>
    <w:p w:rsidR="00502AB0" w:rsidRPr="00502AB0" w:rsidRDefault="00502AB0" w:rsidP="00502AB0">
      <w:p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The advantage of double entry accounting is this: at any given time, the balance of a company's asset accounts will equal the balance of its liability and stockholders' (or owner's) equity accounts. (To learn more on how this equality is maintained, see the </w:t>
      </w:r>
      <w:hyperlink r:id="rId10" w:history="1">
        <w:r w:rsidRPr="00502AB0">
          <w:rPr>
            <w:rFonts w:ascii="inherit" w:eastAsia="Times New Roman" w:hAnsi="inherit" w:cs="Helvetica"/>
            <w:b/>
            <w:bCs/>
            <w:color w:val="4185B1"/>
            <w:sz w:val="21"/>
            <w:szCs w:val="21"/>
            <w:u w:val="single"/>
            <w:bdr w:val="none" w:sz="0" w:space="0" w:color="auto" w:frame="1"/>
            <w:lang w:val="en-GB" w:eastAsia="en-GB"/>
          </w:rPr>
          <w:t>Explanation of Accounting Equation</w:t>
        </w:r>
      </w:hyperlink>
      <w:r w:rsidRPr="00502AB0">
        <w:rPr>
          <w:rFonts w:ascii="Helvetica" w:eastAsia="Times New Roman" w:hAnsi="Helvetica" w:cs="Helvetica"/>
          <w:color w:val="333333"/>
          <w:sz w:val="21"/>
          <w:szCs w:val="21"/>
          <w:bdr w:val="none" w:sz="0" w:space="0" w:color="auto" w:frame="1"/>
          <w:lang w:val="en-GB" w:eastAsia="en-GB"/>
        </w:rPr>
        <w:t>.</w:t>
      </w:r>
      <w:r w:rsidRPr="00502AB0">
        <w:rPr>
          <w:rFonts w:ascii="Helvetica" w:eastAsia="Times New Roman" w:hAnsi="Helvetica" w:cs="Helvetica"/>
          <w:color w:val="333333"/>
          <w:sz w:val="21"/>
          <w:szCs w:val="21"/>
          <w:lang w:val="en-GB" w:eastAsia="en-GB"/>
        </w:rPr>
        <w:t>)</w:t>
      </w:r>
    </w:p>
    <w:p w:rsidR="00502AB0" w:rsidRPr="00502AB0" w:rsidRDefault="00502AB0" w:rsidP="00502AB0">
      <w:p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Financial accounting is required to follow the </w:t>
      </w:r>
      <w:hyperlink r:id="rId11" w:history="1">
        <w:r w:rsidRPr="00502AB0">
          <w:rPr>
            <w:rFonts w:ascii="inherit" w:eastAsia="Times New Roman" w:hAnsi="inherit" w:cs="Helvetica"/>
            <w:color w:val="333333"/>
            <w:sz w:val="21"/>
            <w:szCs w:val="21"/>
            <w:u w:val="single"/>
            <w:bdr w:val="none" w:sz="0" w:space="0" w:color="auto" w:frame="1"/>
            <w:lang w:val="en-GB" w:eastAsia="en-GB"/>
          </w:rPr>
          <w:t>accrual basis of accounting</w:t>
        </w:r>
      </w:hyperlink>
      <w:r w:rsidRPr="00502AB0">
        <w:rPr>
          <w:rFonts w:ascii="Helvetica" w:eastAsia="Times New Roman" w:hAnsi="Helvetica" w:cs="Helvetica"/>
          <w:color w:val="333333"/>
          <w:sz w:val="21"/>
          <w:szCs w:val="21"/>
          <w:bdr w:val="none" w:sz="0" w:space="0" w:color="auto" w:frame="1"/>
          <w:lang w:val="en-GB" w:eastAsia="en-GB"/>
        </w:rPr>
        <w:t> </w:t>
      </w:r>
      <w:r w:rsidRPr="00502AB0">
        <w:rPr>
          <w:rFonts w:ascii="Helvetica" w:eastAsia="Times New Roman" w:hAnsi="Helvetica" w:cs="Helvetica"/>
          <w:color w:val="333333"/>
          <w:sz w:val="21"/>
          <w:szCs w:val="21"/>
          <w:lang w:val="en-GB" w:eastAsia="en-GB"/>
        </w:rPr>
        <w:t>(as opposed to the "cash basis" of accounting). Under the accrual basis, revenues are reported when they are </w:t>
      </w:r>
      <w:r w:rsidRPr="00502AB0">
        <w:rPr>
          <w:rFonts w:ascii="inherit" w:eastAsia="Times New Roman" w:hAnsi="inherit" w:cs="Helvetica"/>
          <w:i/>
          <w:iCs/>
          <w:color w:val="333333"/>
          <w:sz w:val="21"/>
          <w:szCs w:val="21"/>
          <w:bdr w:val="none" w:sz="0" w:space="0" w:color="auto" w:frame="1"/>
          <w:lang w:val="en-GB" w:eastAsia="en-GB"/>
        </w:rPr>
        <w:t>earned</w:t>
      </w:r>
      <w:r w:rsidRPr="00502AB0">
        <w:rPr>
          <w:rFonts w:ascii="Helvetica" w:eastAsia="Times New Roman" w:hAnsi="Helvetica" w:cs="Helvetica"/>
          <w:color w:val="333333"/>
          <w:sz w:val="21"/>
          <w:szCs w:val="21"/>
          <w:lang w:val="en-GB" w:eastAsia="en-GB"/>
        </w:rPr>
        <w:t>, not when the money is received. Similarly, expenses are reported when they are </w:t>
      </w:r>
      <w:r w:rsidRPr="00502AB0">
        <w:rPr>
          <w:rFonts w:ascii="inherit" w:eastAsia="Times New Roman" w:hAnsi="inherit" w:cs="Helvetica"/>
          <w:i/>
          <w:iCs/>
          <w:color w:val="333333"/>
          <w:sz w:val="21"/>
          <w:szCs w:val="21"/>
          <w:bdr w:val="none" w:sz="0" w:space="0" w:color="auto" w:frame="1"/>
          <w:lang w:val="en-GB" w:eastAsia="en-GB"/>
        </w:rPr>
        <w:t>incurred</w:t>
      </w:r>
      <w:r w:rsidRPr="00502AB0">
        <w:rPr>
          <w:rFonts w:ascii="Helvetica" w:eastAsia="Times New Roman" w:hAnsi="Helvetica" w:cs="Helvetica"/>
          <w:color w:val="333333"/>
          <w:sz w:val="21"/>
          <w:szCs w:val="21"/>
          <w:lang w:val="en-GB" w:eastAsia="en-GB"/>
        </w:rPr>
        <w:t>, not when they are paid. For example, although a magazine publisher receives a $24 check from a customer for an annual subscription, the publisher reports as revenue a monthly amount of $2 (one-twelfth of the annual subscription amount). In the same way, it reports its property tax expense each month as one-twelfth of the annual property tax bill.</w:t>
      </w:r>
    </w:p>
    <w:p w:rsidR="00502AB0" w:rsidRPr="00502AB0" w:rsidRDefault="00502AB0" w:rsidP="00502AB0">
      <w:p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By following the accrual basis of accounting, a company's profitability, assets, liabilities and other financial information is more in line with economic reality. (To learn more on achieving the accrual basis of accounting, see the </w:t>
      </w:r>
      <w:hyperlink r:id="rId12" w:history="1">
        <w:r w:rsidRPr="00502AB0">
          <w:rPr>
            <w:rFonts w:ascii="inherit" w:eastAsia="Times New Roman" w:hAnsi="inherit" w:cs="Helvetica"/>
            <w:b/>
            <w:bCs/>
            <w:color w:val="4185B1"/>
            <w:sz w:val="21"/>
            <w:szCs w:val="21"/>
            <w:u w:val="single"/>
            <w:bdr w:val="none" w:sz="0" w:space="0" w:color="auto" w:frame="1"/>
            <w:lang w:val="en-GB" w:eastAsia="en-GB"/>
          </w:rPr>
          <w:t>Explanation of Adjusting Entries</w:t>
        </w:r>
      </w:hyperlink>
      <w:r w:rsidRPr="00502AB0">
        <w:rPr>
          <w:rFonts w:ascii="Helvetica" w:eastAsia="Times New Roman" w:hAnsi="Helvetica" w:cs="Helvetica"/>
          <w:color w:val="333333"/>
          <w:sz w:val="21"/>
          <w:szCs w:val="21"/>
          <w:bdr w:val="none" w:sz="0" w:space="0" w:color="auto" w:frame="1"/>
          <w:lang w:val="en-GB" w:eastAsia="en-GB"/>
        </w:rPr>
        <w:t>.</w:t>
      </w:r>
      <w:r w:rsidRPr="00502AB0">
        <w:rPr>
          <w:rFonts w:ascii="Helvetica" w:eastAsia="Times New Roman" w:hAnsi="Helvetica" w:cs="Helvetica"/>
          <w:color w:val="333333"/>
          <w:sz w:val="21"/>
          <w:szCs w:val="21"/>
          <w:lang w:val="en-GB" w:eastAsia="en-GB"/>
        </w:rPr>
        <w:t>)</w:t>
      </w:r>
    </w:p>
    <w:p w:rsidR="00502AB0" w:rsidRPr="00502AB0" w:rsidRDefault="00502AB0" w:rsidP="00502AB0">
      <w:pPr>
        <w:shd w:val="clear" w:color="auto" w:fill="FFFFFF"/>
        <w:spacing w:line="240" w:lineRule="auto"/>
        <w:jc w:val="right"/>
        <w:textAlignment w:val="baseline"/>
        <w:rPr>
          <w:rFonts w:ascii="Helvetica" w:eastAsia="Times New Roman" w:hAnsi="Helvetica" w:cs="Helvetica"/>
          <w:color w:val="333333"/>
          <w:sz w:val="21"/>
          <w:szCs w:val="21"/>
          <w:lang w:val="en-GB" w:eastAsia="en-GB"/>
        </w:rPr>
      </w:pPr>
      <w:hyperlink r:id="rId13" w:history="1">
        <w:r w:rsidRPr="00502AB0">
          <w:rPr>
            <w:rFonts w:ascii="Helvetica" w:eastAsia="Times New Roman" w:hAnsi="Helvetica" w:cs="Helvetica"/>
            <w:color w:val="4185B1"/>
            <w:sz w:val="21"/>
            <w:szCs w:val="21"/>
            <w:u w:val="single"/>
            <w:bdr w:val="none" w:sz="0" w:space="0" w:color="auto" w:frame="1"/>
            <w:lang w:val="en-GB" w:eastAsia="en-GB"/>
          </w:rPr>
          <w:t>Confused? Send Feedback</w:t>
        </w:r>
      </w:hyperlink>
    </w:p>
    <w:p w:rsidR="00502AB0" w:rsidRPr="00502AB0" w:rsidRDefault="00502AB0" w:rsidP="00502AB0">
      <w:pPr>
        <w:pBdr>
          <w:top w:val="single" w:sz="6" w:space="15" w:color="E1E1E1"/>
        </w:pBdr>
        <w:shd w:val="clear" w:color="auto" w:fill="FFFFFF"/>
        <w:spacing w:after="300" w:line="570" w:lineRule="atLeast"/>
        <w:textAlignment w:val="baseline"/>
        <w:outlineLvl w:val="1"/>
        <w:rPr>
          <w:rFonts w:ascii="Georgia" w:eastAsia="Times New Roman" w:hAnsi="Georgia" w:cs="Times New Roman"/>
          <w:color w:val="333333"/>
          <w:sz w:val="54"/>
          <w:szCs w:val="54"/>
          <w:lang w:val="en-GB" w:eastAsia="en-GB"/>
        </w:rPr>
      </w:pPr>
      <w:r w:rsidRPr="00502AB0">
        <w:rPr>
          <w:rFonts w:ascii="Georgia" w:eastAsia="Times New Roman" w:hAnsi="Georgia" w:cs="Times New Roman"/>
          <w:color w:val="333333"/>
          <w:sz w:val="54"/>
          <w:szCs w:val="54"/>
          <w:lang w:val="en-GB" w:eastAsia="en-GB"/>
        </w:rPr>
        <w:t>Accounting Principles</w:t>
      </w:r>
    </w:p>
    <w:p w:rsidR="00502AB0" w:rsidRPr="00502AB0" w:rsidRDefault="00502AB0" w:rsidP="00502AB0">
      <w:p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If financial accounting is going to be useful, a company's reports need to be credible, easy to understand, and comparable to those of other companies. To this end, financial accounting follows a set of common rules known as </w:t>
      </w:r>
      <w:r w:rsidRPr="00502AB0">
        <w:rPr>
          <w:rFonts w:ascii="inherit" w:eastAsia="Times New Roman" w:hAnsi="inherit" w:cs="Helvetica"/>
          <w:b/>
          <w:bCs/>
          <w:color w:val="333333"/>
          <w:sz w:val="21"/>
          <w:szCs w:val="21"/>
          <w:bdr w:val="none" w:sz="0" w:space="0" w:color="auto" w:frame="1"/>
          <w:lang w:val="en-GB" w:eastAsia="en-GB"/>
        </w:rPr>
        <w:t>accounting standards</w:t>
      </w:r>
      <w:r w:rsidRPr="00502AB0">
        <w:rPr>
          <w:rFonts w:ascii="Helvetica" w:eastAsia="Times New Roman" w:hAnsi="Helvetica" w:cs="Helvetica"/>
          <w:color w:val="333333"/>
          <w:sz w:val="21"/>
          <w:szCs w:val="21"/>
          <w:lang w:val="en-GB" w:eastAsia="en-GB"/>
        </w:rPr>
        <w:t> or </w:t>
      </w:r>
      <w:r w:rsidRPr="00502AB0">
        <w:rPr>
          <w:rFonts w:ascii="inherit" w:eastAsia="Times New Roman" w:hAnsi="inherit" w:cs="Helvetica"/>
          <w:b/>
          <w:bCs/>
          <w:color w:val="333333"/>
          <w:sz w:val="21"/>
          <w:szCs w:val="21"/>
          <w:bdr w:val="none" w:sz="0" w:space="0" w:color="auto" w:frame="1"/>
          <w:lang w:val="en-GB" w:eastAsia="en-GB"/>
        </w:rPr>
        <w:t>generally accepted accounting principles</w:t>
      </w:r>
      <w:r w:rsidRPr="00502AB0">
        <w:rPr>
          <w:rFonts w:ascii="Helvetica" w:eastAsia="Times New Roman" w:hAnsi="Helvetica" w:cs="Helvetica"/>
          <w:color w:val="333333"/>
          <w:sz w:val="21"/>
          <w:szCs w:val="21"/>
          <w:lang w:val="en-GB" w:eastAsia="en-GB"/>
        </w:rPr>
        <w:t> (GAAP, pronounced "gap").</w:t>
      </w:r>
    </w:p>
    <w:p w:rsidR="00502AB0" w:rsidRPr="00502AB0" w:rsidRDefault="00502AB0" w:rsidP="00502AB0">
      <w:p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GAAP is based on some basic underlying principles and concepts such as the cost principle, matching principle, full disclosure, going concern, economic entity, conservatism, relevance, and reliability. (You can learn more about the basic principles in </w:t>
      </w:r>
      <w:hyperlink r:id="rId14" w:history="1">
        <w:r w:rsidRPr="00502AB0">
          <w:rPr>
            <w:rFonts w:ascii="inherit" w:eastAsia="Times New Roman" w:hAnsi="inherit" w:cs="Helvetica"/>
            <w:b/>
            <w:bCs/>
            <w:color w:val="4185B1"/>
            <w:sz w:val="21"/>
            <w:szCs w:val="21"/>
            <w:u w:val="single"/>
            <w:bdr w:val="none" w:sz="0" w:space="0" w:color="auto" w:frame="1"/>
            <w:lang w:val="en-GB" w:eastAsia="en-GB"/>
          </w:rPr>
          <w:t>Explanation of Accounting Principles</w:t>
        </w:r>
      </w:hyperlink>
      <w:r w:rsidRPr="00502AB0">
        <w:rPr>
          <w:rFonts w:ascii="Helvetica" w:eastAsia="Times New Roman" w:hAnsi="Helvetica" w:cs="Helvetica"/>
          <w:color w:val="333333"/>
          <w:sz w:val="21"/>
          <w:szCs w:val="21"/>
          <w:bdr w:val="none" w:sz="0" w:space="0" w:color="auto" w:frame="1"/>
          <w:lang w:val="en-GB" w:eastAsia="en-GB"/>
        </w:rPr>
        <w:t>.</w:t>
      </w:r>
      <w:r w:rsidRPr="00502AB0">
        <w:rPr>
          <w:rFonts w:ascii="Helvetica" w:eastAsia="Times New Roman" w:hAnsi="Helvetica" w:cs="Helvetica"/>
          <w:color w:val="333333"/>
          <w:sz w:val="21"/>
          <w:szCs w:val="21"/>
          <w:lang w:val="en-GB" w:eastAsia="en-GB"/>
        </w:rPr>
        <w:t>)</w:t>
      </w:r>
    </w:p>
    <w:p w:rsidR="00502AB0" w:rsidRPr="00502AB0" w:rsidRDefault="00502AB0" w:rsidP="00502AB0">
      <w:pPr>
        <w:shd w:val="clear" w:color="auto" w:fill="FFFFFF"/>
        <w:spacing w:after="30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GAAP, however, is not static. It includes some very complex standards that were issued in response to some very complicated business transactions. GAAP also addresses accounting practices that may be unique to particular industries, such as utility, banking, and insurance. Often these practices are a response to changes in government regulations of the industry.</w:t>
      </w:r>
    </w:p>
    <w:p w:rsidR="00502AB0" w:rsidRPr="00502AB0" w:rsidRDefault="00502AB0" w:rsidP="00502AB0">
      <w:p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GAAP includes many specific pronouncements as issued by the Financial Accounting Standards Board (FASB, pronounced "</w:t>
      </w:r>
      <w:proofErr w:type="spellStart"/>
      <w:r w:rsidRPr="00502AB0">
        <w:rPr>
          <w:rFonts w:ascii="Helvetica" w:eastAsia="Times New Roman" w:hAnsi="Helvetica" w:cs="Helvetica"/>
          <w:color w:val="333333"/>
          <w:sz w:val="21"/>
          <w:szCs w:val="21"/>
          <w:lang w:val="en-GB" w:eastAsia="en-GB"/>
        </w:rPr>
        <w:t>fas</w:t>
      </w:r>
      <w:proofErr w:type="spellEnd"/>
      <w:r w:rsidRPr="00502AB0">
        <w:rPr>
          <w:rFonts w:ascii="Helvetica" w:eastAsia="Times New Roman" w:hAnsi="Helvetica" w:cs="Helvetica"/>
          <w:color w:val="333333"/>
          <w:sz w:val="21"/>
          <w:szCs w:val="21"/>
          <w:lang w:val="en-GB" w:eastAsia="en-GB"/>
        </w:rPr>
        <w:t xml:space="preserve">-bee"). The FASB is a non-government group that researches current </w:t>
      </w:r>
      <w:r w:rsidRPr="00502AB0">
        <w:rPr>
          <w:rFonts w:ascii="Helvetica" w:eastAsia="Times New Roman" w:hAnsi="Helvetica" w:cs="Helvetica"/>
          <w:color w:val="333333"/>
          <w:sz w:val="21"/>
          <w:szCs w:val="21"/>
          <w:lang w:val="en-GB" w:eastAsia="en-GB"/>
        </w:rPr>
        <w:lastRenderedPageBreak/>
        <w:t>needs and develops accounting rules to meet those needs. (You can learn more about FASB and its accounting pronouncements at </w:t>
      </w:r>
      <w:hyperlink r:id="rId15" w:history="1">
        <w:r w:rsidRPr="00502AB0">
          <w:rPr>
            <w:rFonts w:ascii="inherit" w:eastAsia="Times New Roman" w:hAnsi="inherit" w:cs="Helvetica"/>
            <w:b/>
            <w:bCs/>
            <w:color w:val="4185B1"/>
            <w:sz w:val="21"/>
            <w:szCs w:val="21"/>
            <w:u w:val="single"/>
            <w:bdr w:val="none" w:sz="0" w:space="0" w:color="auto" w:frame="1"/>
            <w:lang w:val="en-GB" w:eastAsia="en-GB"/>
          </w:rPr>
          <w:t>www.FASB.org</w:t>
        </w:r>
      </w:hyperlink>
      <w:r w:rsidRPr="00502AB0">
        <w:rPr>
          <w:rFonts w:ascii="Helvetica" w:eastAsia="Times New Roman" w:hAnsi="Helvetica" w:cs="Helvetica"/>
          <w:color w:val="333333"/>
          <w:sz w:val="21"/>
          <w:szCs w:val="21"/>
          <w:bdr w:val="none" w:sz="0" w:space="0" w:color="auto" w:frame="1"/>
          <w:lang w:val="en-GB" w:eastAsia="en-GB"/>
        </w:rPr>
        <w:t>.</w:t>
      </w:r>
      <w:r w:rsidRPr="00502AB0">
        <w:rPr>
          <w:rFonts w:ascii="Helvetica" w:eastAsia="Times New Roman" w:hAnsi="Helvetica" w:cs="Helvetica"/>
          <w:color w:val="333333"/>
          <w:sz w:val="21"/>
          <w:szCs w:val="21"/>
          <w:lang w:val="en-GB" w:eastAsia="en-GB"/>
        </w:rPr>
        <w:t>)</w:t>
      </w:r>
    </w:p>
    <w:p w:rsidR="00502AB0" w:rsidRPr="00502AB0" w:rsidRDefault="00502AB0" w:rsidP="00502AB0">
      <w:pPr>
        <w:shd w:val="clear" w:color="auto" w:fill="FFFFFF"/>
        <w:spacing w:after="30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In addition to following the provisions of GAAP, any corporation whose stock is publicly traded is also subject to the reporting requirements of the Securities and Exchange Commission (SEC), an agency of the U.S. government. These requirements mandate an annual report to stockholders as well as an annual report to the SEC. The annual report to the SEC requires that independent certified public accountants audit a company's financial statements, thus giving assurance that the company has followed GAAP.</w:t>
      </w:r>
    </w:p>
    <w:p w:rsidR="00502AB0" w:rsidRPr="00502AB0" w:rsidRDefault="00502AB0" w:rsidP="00502AB0">
      <w:pPr>
        <w:shd w:val="clear" w:color="auto" w:fill="FFFFFF"/>
        <w:spacing w:line="240" w:lineRule="auto"/>
        <w:jc w:val="right"/>
        <w:textAlignment w:val="baseline"/>
        <w:rPr>
          <w:rFonts w:ascii="Helvetica" w:eastAsia="Times New Roman" w:hAnsi="Helvetica" w:cs="Helvetica"/>
          <w:color w:val="333333"/>
          <w:sz w:val="21"/>
          <w:szCs w:val="21"/>
          <w:lang w:val="en-GB" w:eastAsia="en-GB"/>
        </w:rPr>
      </w:pPr>
      <w:hyperlink r:id="rId16" w:history="1">
        <w:r w:rsidRPr="00502AB0">
          <w:rPr>
            <w:rFonts w:ascii="Helvetica" w:eastAsia="Times New Roman" w:hAnsi="Helvetica" w:cs="Helvetica"/>
            <w:color w:val="4185B1"/>
            <w:sz w:val="21"/>
            <w:szCs w:val="21"/>
            <w:u w:val="single"/>
            <w:bdr w:val="none" w:sz="0" w:space="0" w:color="auto" w:frame="1"/>
            <w:lang w:val="en-GB" w:eastAsia="en-GB"/>
          </w:rPr>
          <w:t>Confused? Send Feedback</w:t>
        </w:r>
      </w:hyperlink>
    </w:p>
    <w:p w:rsidR="00502AB0" w:rsidRPr="00502AB0" w:rsidRDefault="00502AB0" w:rsidP="00502AB0">
      <w:pPr>
        <w:pBdr>
          <w:top w:val="single" w:sz="6" w:space="15" w:color="E1E1E1"/>
        </w:pBdr>
        <w:shd w:val="clear" w:color="auto" w:fill="FFFFFF"/>
        <w:spacing w:after="300" w:line="570" w:lineRule="atLeast"/>
        <w:textAlignment w:val="baseline"/>
        <w:outlineLvl w:val="1"/>
        <w:rPr>
          <w:rFonts w:ascii="Georgia" w:eastAsia="Times New Roman" w:hAnsi="Georgia" w:cs="Times New Roman"/>
          <w:color w:val="333333"/>
          <w:sz w:val="54"/>
          <w:szCs w:val="54"/>
          <w:lang w:val="en-GB" w:eastAsia="en-GB"/>
        </w:rPr>
      </w:pPr>
      <w:r w:rsidRPr="00502AB0">
        <w:rPr>
          <w:rFonts w:ascii="Georgia" w:eastAsia="Times New Roman" w:hAnsi="Georgia" w:cs="Times New Roman"/>
          <w:color w:val="333333"/>
          <w:sz w:val="54"/>
          <w:szCs w:val="54"/>
          <w:lang w:val="en-GB" w:eastAsia="en-GB"/>
        </w:rPr>
        <w:t>Financial Statements</w:t>
      </w:r>
    </w:p>
    <w:p w:rsidR="00502AB0" w:rsidRPr="00502AB0" w:rsidRDefault="00502AB0" w:rsidP="00502AB0">
      <w:pPr>
        <w:shd w:val="clear" w:color="auto" w:fill="FFFFFF"/>
        <w:spacing w:after="30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Financial accounting generates the following general-purpose, external, financial statements:</w:t>
      </w:r>
    </w:p>
    <w:p w:rsidR="00502AB0" w:rsidRPr="00502AB0" w:rsidRDefault="00502AB0" w:rsidP="00502AB0">
      <w:pPr>
        <w:numPr>
          <w:ilvl w:val="0"/>
          <w:numId w:val="1"/>
        </w:numPr>
        <w:shd w:val="clear" w:color="auto" w:fill="FFFFFF"/>
        <w:spacing w:after="9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Income statement (sometimes referred to as "results of operations" or "earnings statement" or "profit and loss [P&amp;L] statement")</w:t>
      </w:r>
    </w:p>
    <w:p w:rsidR="00502AB0" w:rsidRPr="00502AB0" w:rsidRDefault="00502AB0" w:rsidP="00502AB0">
      <w:pPr>
        <w:numPr>
          <w:ilvl w:val="0"/>
          <w:numId w:val="1"/>
        </w:numPr>
        <w:shd w:val="clear" w:color="auto" w:fill="FFFFFF"/>
        <w:spacing w:after="9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Statement of comprehensive income</w:t>
      </w:r>
    </w:p>
    <w:p w:rsidR="00502AB0" w:rsidRPr="00502AB0" w:rsidRDefault="00502AB0" w:rsidP="00502AB0">
      <w:pPr>
        <w:numPr>
          <w:ilvl w:val="0"/>
          <w:numId w:val="1"/>
        </w:numPr>
        <w:shd w:val="clear" w:color="auto" w:fill="FFFFFF"/>
        <w:spacing w:after="9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Balance sheet (sometimes referred to as "statement of financial position")</w:t>
      </w:r>
    </w:p>
    <w:p w:rsidR="00502AB0" w:rsidRPr="00502AB0" w:rsidRDefault="00502AB0" w:rsidP="00502AB0">
      <w:pPr>
        <w:numPr>
          <w:ilvl w:val="0"/>
          <w:numId w:val="1"/>
        </w:numPr>
        <w:shd w:val="clear" w:color="auto" w:fill="FFFFFF"/>
        <w:spacing w:after="9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Statement of cash flows (sometimes referred to as "cash flow statement")</w:t>
      </w:r>
    </w:p>
    <w:p w:rsidR="00502AB0" w:rsidRPr="00502AB0" w:rsidRDefault="00502AB0" w:rsidP="00502AB0">
      <w:pPr>
        <w:numPr>
          <w:ilvl w:val="0"/>
          <w:numId w:val="1"/>
        </w:numPr>
        <w:shd w:val="clear" w:color="auto" w:fill="FFFFFF"/>
        <w:spacing w:after="9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Statement of stockholders' equity</w:t>
      </w:r>
    </w:p>
    <w:p w:rsidR="00502AB0" w:rsidRPr="00502AB0" w:rsidRDefault="00502AB0" w:rsidP="00502AB0">
      <w:pPr>
        <w:shd w:val="clear" w:color="auto" w:fill="FFFFFF"/>
        <w:spacing w:after="150" w:line="480" w:lineRule="atLeast"/>
        <w:textAlignment w:val="baseline"/>
        <w:outlineLvl w:val="2"/>
        <w:rPr>
          <w:rFonts w:ascii="Helvetica" w:eastAsia="Times New Roman" w:hAnsi="Helvetica" w:cs="Helvetica"/>
          <w:b/>
          <w:bCs/>
          <w:color w:val="333333"/>
          <w:sz w:val="24"/>
          <w:szCs w:val="24"/>
          <w:lang w:val="en-GB" w:eastAsia="en-GB"/>
        </w:rPr>
      </w:pPr>
      <w:r w:rsidRPr="00502AB0">
        <w:rPr>
          <w:rFonts w:ascii="Helvetica" w:eastAsia="Times New Roman" w:hAnsi="Helvetica" w:cs="Helvetica"/>
          <w:b/>
          <w:bCs/>
          <w:color w:val="333333"/>
          <w:sz w:val="24"/>
          <w:szCs w:val="24"/>
          <w:lang w:val="en-GB" w:eastAsia="en-GB"/>
        </w:rPr>
        <w:t>Income Statement</w:t>
      </w:r>
    </w:p>
    <w:p w:rsidR="00502AB0" w:rsidRPr="00502AB0" w:rsidRDefault="00502AB0" w:rsidP="00502AB0">
      <w:pPr>
        <w:shd w:val="clear" w:color="auto" w:fill="FFFFFF"/>
        <w:spacing w:after="30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The income statement reports a company's profitability during a specified period of time. The period of time could be one year, one month, three months, 13 weeks, or any other time interval chosen by the company.</w:t>
      </w:r>
    </w:p>
    <w:p w:rsidR="00502AB0" w:rsidRPr="00502AB0" w:rsidRDefault="00502AB0" w:rsidP="00502AB0">
      <w:p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 xml:space="preserve">The main components of the income statement are revenues, expenses, gains, and losses. Revenues include such things as sales, service revenues, and interest revenue. Expenses include the cost of goods sold, operating expenses (such as salaries, rent, utilities, advertising), and </w:t>
      </w:r>
      <w:proofErr w:type="spellStart"/>
      <w:r w:rsidRPr="00502AB0">
        <w:rPr>
          <w:rFonts w:ascii="Helvetica" w:eastAsia="Times New Roman" w:hAnsi="Helvetica" w:cs="Helvetica"/>
          <w:color w:val="333333"/>
          <w:sz w:val="21"/>
          <w:szCs w:val="21"/>
          <w:lang w:val="en-GB" w:eastAsia="en-GB"/>
        </w:rPr>
        <w:t>nonoperating</w:t>
      </w:r>
      <w:proofErr w:type="spellEnd"/>
      <w:r w:rsidRPr="00502AB0">
        <w:rPr>
          <w:rFonts w:ascii="Helvetica" w:eastAsia="Times New Roman" w:hAnsi="Helvetica" w:cs="Helvetica"/>
          <w:color w:val="333333"/>
          <w:sz w:val="21"/>
          <w:szCs w:val="21"/>
          <w:lang w:val="en-GB" w:eastAsia="en-GB"/>
        </w:rPr>
        <w:t xml:space="preserve"> expenses (such as interest expense). If a corporation's stock is publicly traded, the earnings per share of its common stock are reported on the income statement. (You can learn more about the income statement at </w:t>
      </w:r>
      <w:hyperlink r:id="rId17" w:history="1">
        <w:r w:rsidRPr="00502AB0">
          <w:rPr>
            <w:rFonts w:ascii="inherit" w:eastAsia="Times New Roman" w:hAnsi="inherit" w:cs="Helvetica"/>
            <w:b/>
            <w:bCs/>
            <w:color w:val="4185B1"/>
            <w:sz w:val="21"/>
            <w:szCs w:val="21"/>
            <w:u w:val="single"/>
            <w:bdr w:val="none" w:sz="0" w:space="0" w:color="auto" w:frame="1"/>
            <w:lang w:val="en-GB" w:eastAsia="en-GB"/>
          </w:rPr>
          <w:t>Explanation of Income Statement</w:t>
        </w:r>
      </w:hyperlink>
      <w:r w:rsidRPr="00502AB0">
        <w:rPr>
          <w:rFonts w:ascii="Helvetica" w:eastAsia="Times New Roman" w:hAnsi="Helvetica" w:cs="Helvetica"/>
          <w:color w:val="333333"/>
          <w:sz w:val="21"/>
          <w:szCs w:val="21"/>
          <w:bdr w:val="none" w:sz="0" w:space="0" w:color="auto" w:frame="1"/>
          <w:lang w:val="en-GB" w:eastAsia="en-GB"/>
        </w:rPr>
        <w:t>.</w:t>
      </w:r>
      <w:r w:rsidRPr="00502AB0">
        <w:rPr>
          <w:rFonts w:ascii="Helvetica" w:eastAsia="Times New Roman" w:hAnsi="Helvetica" w:cs="Helvetica"/>
          <w:color w:val="333333"/>
          <w:sz w:val="21"/>
          <w:szCs w:val="21"/>
          <w:lang w:val="en-GB" w:eastAsia="en-GB"/>
        </w:rPr>
        <w:t>)</w:t>
      </w:r>
    </w:p>
    <w:p w:rsidR="00502AB0" w:rsidRPr="00502AB0" w:rsidRDefault="00502AB0" w:rsidP="00502AB0">
      <w:pPr>
        <w:shd w:val="clear" w:color="auto" w:fill="FFFFFF"/>
        <w:spacing w:after="150" w:line="480" w:lineRule="atLeast"/>
        <w:textAlignment w:val="baseline"/>
        <w:outlineLvl w:val="2"/>
        <w:rPr>
          <w:rFonts w:ascii="Helvetica" w:eastAsia="Times New Roman" w:hAnsi="Helvetica" w:cs="Helvetica"/>
          <w:b/>
          <w:bCs/>
          <w:color w:val="333333"/>
          <w:sz w:val="24"/>
          <w:szCs w:val="24"/>
          <w:lang w:val="en-GB" w:eastAsia="en-GB"/>
        </w:rPr>
      </w:pPr>
      <w:r w:rsidRPr="00502AB0">
        <w:rPr>
          <w:rFonts w:ascii="Helvetica" w:eastAsia="Times New Roman" w:hAnsi="Helvetica" w:cs="Helvetica"/>
          <w:b/>
          <w:bCs/>
          <w:color w:val="333333"/>
          <w:sz w:val="24"/>
          <w:szCs w:val="24"/>
          <w:lang w:val="en-GB" w:eastAsia="en-GB"/>
        </w:rPr>
        <w:t>Statement of Comprehensive Income</w:t>
      </w:r>
    </w:p>
    <w:p w:rsidR="00502AB0" w:rsidRPr="00502AB0" w:rsidRDefault="00502AB0" w:rsidP="00502AB0">
      <w:pPr>
        <w:shd w:val="clear" w:color="auto" w:fill="FFFFFF"/>
        <w:spacing w:after="30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The statement of comprehensive income covers the same period of time as the income statement, and consists of two major sections:</w:t>
      </w:r>
    </w:p>
    <w:p w:rsidR="00502AB0" w:rsidRPr="00502AB0" w:rsidRDefault="00502AB0" w:rsidP="00502AB0">
      <w:pPr>
        <w:numPr>
          <w:ilvl w:val="0"/>
          <w:numId w:val="2"/>
        </w:num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inherit" w:eastAsia="Times New Roman" w:hAnsi="inherit" w:cs="Helvetica"/>
          <w:i/>
          <w:iCs/>
          <w:color w:val="333333"/>
          <w:sz w:val="21"/>
          <w:szCs w:val="21"/>
          <w:bdr w:val="none" w:sz="0" w:space="0" w:color="auto" w:frame="1"/>
          <w:lang w:val="en-GB" w:eastAsia="en-GB"/>
        </w:rPr>
        <w:t>Net income</w:t>
      </w:r>
      <w:r w:rsidRPr="00502AB0">
        <w:rPr>
          <w:rFonts w:ascii="Helvetica" w:eastAsia="Times New Roman" w:hAnsi="Helvetica" w:cs="Helvetica"/>
          <w:color w:val="333333"/>
          <w:sz w:val="21"/>
          <w:szCs w:val="21"/>
          <w:lang w:val="en-GB" w:eastAsia="en-GB"/>
        </w:rPr>
        <w:t> (taken from the income statement)</w:t>
      </w:r>
    </w:p>
    <w:p w:rsidR="00502AB0" w:rsidRPr="00502AB0" w:rsidRDefault="00502AB0" w:rsidP="00502AB0">
      <w:pPr>
        <w:numPr>
          <w:ilvl w:val="0"/>
          <w:numId w:val="2"/>
        </w:num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inherit" w:eastAsia="Times New Roman" w:hAnsi="inherit" w:cs="Helvetica"/>
          <w:i/>
          <w:iCs/>
          <w:color w:val="333333"/>
          <w:sz w:val="21"/>
          <w:szCs w:val="21"/>
          <w:bdr w:val="none" w:sz="0" w:space="0" w:color="auto" w:frame="1"/>
          <w:lang w:val="en-GB" w:eastAsia="en-GB"/>
        </w:rPr>
        <w:t>Other comprehensive income</w:t>
      </w:r>
      <w:r w:rsidRPr="00502AB0">
        <w:rPr>
          <w:rFonts w:ascii="Helvetica" w:eastAsia="Times New Roman" w:hAnsi="Helvetica" w:cs="Helvetica"/>
          <w:color w:val="333333"/>
          <w:sz w:val="21"/>
          <w:szCs w:val="21"/>
          <w:lang w:val="en-GB" w:eastAsia="en-GB"/>
        </w:rPr>
        <w:t> (adjustments involving foreign currency translation, hedging, and postretirement benefits)</w:t>
      </w:r>
    </w:p>
    <w:p w:rsidR="00502AB0" w:rsidRPr="00502AB0" w:rsidRDefault="00502AB0" w:rsidP="00502AB0">
      <w:p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The sum of these two amounts is known as </w:t>
      </w:r>
      <w:r w:rsidRPr="00502AB0">
        <w:rPr>
          <w:rFonts w:ascii="inherit" w:eastAsia="Times New Roman" w:hAnsi="inherit" w:cs="Helvetica"/>
          <w:i/>
          <w:iCs/>
          <w:color w:val="333333"/>
          <w:sz w:val="21"/>
          <w:szCs w:val="21"/>
          <w:bdr w:val="none" w:sz="0" w:space="0" w:color="auto" w:frame="1"/>
          <w:lang w:val="en-GB" w:eastAsia="en-GB"/>
        </w:rPr>
        <w:t>comprehensive income</w:t>
      </w:r>
      <w:r w:rsidRPr="00502AB0">
        <w:rPr>
          <w:rFonts w:ascii="Helvetica" w:eastAsia="Times New Roman" w:hAnsi="Helvetica" w:cs="Helvetica"/>
          <w:color w:val="333333"/>
          <w:sz w:val="21"/>
          <w:szCs w:val="21"/>
          <w:lang w:val="en-GB" w:eastAsia="en-GB"/>
        </w:rPr>
        <w:t>.</w:t>
      </w:r>
    </w:p>
    <w:p w:rsidR="00502AB0" w:rsidRPr="00502AB0" w:rsidRDefault="00502AB0" w:rsidP="00502AB0">
      <w:p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The amount of </w:t>
      </w:r>
      <w:r w:rsidRPr="00502AB0">
        <w:rPr>
          <w:rFonts w:ascii="inherit" w:eastAsia="Times New Roman" w:hAnsi="inherit" w:cs="Helvetica"/>
          <w:i/>
          <w:iCs/>
          <w:color w:val="333333"/>
          <w:sz w:val="21"/>
          <w:szCs w:val="21"/>
          <w:bdr w:val="none" w:sz="0" w:space="0" w:color="auto" w:frame="1"/>
          <w:lang w:val="en-GB" w:eastAsia="en-GB"/>
        </w:rPr>
        <w:t>other comprehensive income</w:t>
      </w:r>
      <w:r w:rsidRPr="00502AB0">
        <w:rPr>
          <w:rFonts w:ascii="Helvetica" w:eastAsia="Times New Roman" w:hAnsi="Helvetica" w:cs="Helvetica"/>
          <w:color w:val="333333"/>
          <w:sz w:val="21"/>
          <w:szCs w:val="21"/>
          <w:lang w:val="en-GB" w:eastAsia="en-GB"/>
        </w:rPr>
        <w:t xml:space="preserve"> is added/subtracted from the balance in the stockholders' equity account </w:t>
      </w:r>
      <w:proofErr w:type="gramStart"/>
      <w:r w:rsidRPr="00502AB0">
        <w:rPr>
          <w:rFonts w:ascii="Helvetica" w:eastAsia="Times New Roman" w:hAnsi="Helvetica" w:cs="Helvetica"/>
          <w:color w:val="333333"/>
          <w:sz w:val="21"/>
          <w:szCs w:val="21"/>
          <w:lang w:val="en-GB" w:eastAsia="en-GB"/>
        </w:rPr>
        <w:t>Accumulated</w:t>
      </w:r>
      <w:proofErr w:type="gramEnd"/>
      <w:r w:rsidRPr="00502AB0">
        <w:rPr>
          <w:rFonts w:ascii="Helvetica" w:eastAsia="Times New Roman" w:hAnsi="Helvetica" w:cs="Helvetica"/>
          <w:color w:val="333333"/>
          <w:sz w:val="21"/>
          <w:szCs w:val="21"/>
          <w:lang w:val="en-GB" w:eastAsia="en-GB"/>
        </w:rPr>
        <w:t xml:space="preserve"> Other Comprehensive Income.</w:t>
      </w:r>
    </w:p>
    <w:p w:rsidR="00502AB0" w:rsidRPr="00502AB0" w:rsidRDefault="00502AB0" w:rsidP="00502AB0">
      <w:pPr>
        <w:shd w:val="clear" w:color="auto" w:fill="FFFFFF"/>
        <w:spacing w:after="150" w:line="480" w:lineRule="atLeast"/>
        <w:textAlignment w:val="baseline"/>
        <w:outlineLvl w:val="2"/>
        <w:rPr>
          <w:rFonts w:ascii="Helvetica" w:eastAsia="Times New Roman" w:hAnsi="Helvetica" w:cs="Helvetica"/>
          <w:b/>
          <w:bCs/>
          <w:color w:val="333333"/>
          <w:sz w:val="24"/>
          <w:szCs w:val="24"/>
          <w:lang w:val="en-GB" w:eastAsia="en-GB"/>
        </w:rPr>
      </w:pPr>
      <w:r w:rsidRPr="00502AB0">
        <w:rPr>
          <w:rFonts w:ascii="Helvetica" w:eastAsia="Times New Roman" w:hAnsi="Helvetica" w:cs="Helvetica"/>
          <w:b/>
          <w:bCs/>
          <w:color w:val="333333"/>
          <w:sz w:val="24"/>
          <w:szCs w:val="24"/>
          <w:lang w:val="en-GB" w:eastAsia="en-GB"/>
        </w:rPr>
        <w:t>Balance Sheet</w:t>
      </w:r>
    </w:p>
    <w:p w:rsidR="00502AB0" w:rsidRPr="00502AB0" w:rsidRDefault="00502AB0" w:rsidP="00502AB0">
      <w:pPr>
        <w:shd w:val="clear" w:color="auto" w:fill="FFFFFF"/>
        <w:spacing w:after="30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lastRenderedPageBreak/>
        <w:t>The balance sheet is organized into three parts: (1) assets, (2) liabilities, and (3) stockholders' equity at a specified date (typically, this date is the last day of an accounting period).</w:t>
      </w:r>
    </w:p>
    <w:p w:rsidR="00502AB0" w:rsidRPr="00502AB0" w:rsidRDefault="00502AB0" w:rsidP="00502AB0">
      <w:p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The first section of the balance sheet reports the company's </w:t>
      </w:r>
      <w:r w:rsidRPr="00502AB0">
        <w:rPr>
          <w:rFonts w:ascii="inherit" w:eastAsia="Times New Roman" w:hAnsi="inherit" w:cs="Helvetica"/>
          <w:i/>
          <w:iCs/>
          <w:color w:val="333333"/>
          <w:sz w:val="21"/>
          <w:szCs w:val="21"/>
          <w:bdr w:val="none" w:sz="0" w:space="0" w:color="auto" w:frame="1"/>
          <w:lang w:val="en-GB" w:eastAsia="en-GB"/>
        </w:rPr>
        <w:t>assets</w:t>
      </w:r>
      <w:r w:rsidRPr="00502AB0">
        <w:rPr>
          <w:rFonts w:ascii="Helvetica" w:eastAsia="Times New Roman" w:hAnsi="Helvetica" w:cs="Helvetica"/>
          <w:color w:val="333333"/>
          <w:sz w:val="21"/>
          <w:szCs w:val="21"/>
          <w:lang w:val="en-GB" w:eastAsia="en-GB"/>
        </w:rPr>
        <w:t> and includes such things as cash, accounts receivable, inventory, prepaid insurance, buildings, and equipment. The next section reports the company's </w:t>
      </w:r>
      <w:r w:rsidRPr="00502AB0">
        <w:rPr>
          <w:rFonts w:ascii="inherit" w:eastAsia="Times New Roman" w:hAnsi="inherit" w:cs="Helvetica"/>
          <w:i/>
          <w:iCs/>
          <w:color w:val="333333"/>
          <w:sz w:val="21"/>
          <w:szCs w:val="21"/>
          <w:bdr w:val="none" w:sz="0" w:space="0" w:color="auto" w:frame="1"/>
          <w:lang w:val="en-GB" w:eastAsia="en-GB"/>
        </w:rPr>
        <w:t>liabilities</w:t>
      </w:r>
      <w:r w:rsidRPr="00502AB0">
        <w:rPr>
          <w:rFonts w:ascii="Helvetica" w:eastAsia="Times New Roman" w:hAnsi="Helvetica" w:cs="Helvetica"/>
          <w:color w:val="333333"/>
          <w:sz w:val="21"/>
          <w:szCs w:val="21"/>
          <w:lang w:val="en-GB" w:eastAsia="en-GB"/>
        </w:rPr>
        <w:t>; these are obligations that are due at the date of the balance sheet and often include the word "payable" in their title (Notes Payable, Accounts Payable, Wages Payable, and Interest Payable). The final section is </w:t>
      </w:r>
      <w:r w:rsidRPr="00502AB0">
        <w:rPr>
          <w:rFonts w:ascii="inherit" w:eastAsia="Times New Roman" w:hAnsi="inherit" w:cs="Helvetica"/>
          <w:i/>
          <w:iCs/>
          <w:color w:val="333333"/>
          <w:sz w:val="21"/>
          <w:szCs w:val="21"/>
          <w:bdr w:val="none" w:sz="0" w:space="0" w:color="auto" w:frame="1"/>
          <w:lang w:val="en-GB" w:eastAsia="en-GB"/>
        </w:rPr>
        <w:t>stockholders' equity</w:t>
      </w:r>
      <w:r w:rsidRPr="00502AB0">
        <w:rPr>
          <w:rFonts w:ascii="Helvetica" w:eastAsia="Times New Roman" w:hAnsi="Helvetica" w:cs="Helvetica"/>
          <w:color w:val="333333"/>
          <w:sz w:val="21"/>
          <w:szCs w:val="21"/>
          <w:lang w:val="en-GB" w:eastAsia="en-GB"/>
        </w:rPr>
        <w:t>, defined as the difference between the amount of assets and the amount of liabilities. (You can learn more about the balance sheet at </w:t>
      </w:r>
      <w:hyperlink r:id="rId18" w:history="1">
        <w:r w:rsidRPr="00502AB0">
          <w:rPr>
            <w:rFonts w:ascii="inherit" w:eastAsia="Times New Roman" w:hAnsi="inherit" w:cs="Helvetica"/>
            <w:b/>
            <w:bCs/>
            <w:color w:val="4185B1"/>
            <w:sz w:val="21"/>
            <w:szCs w:val="21"/>
            <w:u w:val="single"/>
            <w:bdr w:val="none" w:sz="0" w:space="0" w:color="auto" w:frame="1"/>
            <w:lang w:val="en-GB" w:eastAsia="en-GB"/>
          </w:rPr>
          <w:t>Explanation of Balance Sheet</w:t>
        </w:r>
      </w:hyperlink>
      <w:r w:rsidRPr="00502AB0">
        <w:rPr>
          <w:rFonts w:ascii="Helvetica" w:eastAsia="Times New Roman" w:hAnsi="Helvetica" w:cs="Helvetica"/>
          <w:color w:val="333333"/>
          <w:sz w:val="21"/>
          <w:szCs w:val="21"/>
          <w:bdr w:val="none" w:sz="0" w:space="0" w:color="auto" w:frame="1"/>
          <w:lang w:val="en-GB" w:eastAsia="en-GB"/>
        </w:rPr>
        <w:t>.</w:t>
      </w:r>
      <w:r w:rsidRPr="00502AB0">
        <w:rPr>
          <w:rFonts w:ascii="Helvetica" w:eastAsia="Times New Roman" w:hAnsi="Helvetica" w:cs="Helvetica"/>
          <w:color w:val="333333"/>
          <w:sz w:val="21"/>
          <w:szCs w:val="21"/>
          <w:lang w:val="en-GB" w:eastAsia="en-GB"/>
        </w:rPr>
        <w:t>)</w:t>
      </w:r>
    </w:p>
    <w:p w:rsidR="00502AB0" w:rsidRPr="00502AB0" w:rsidRDefault="00502AB0" w:rsidP="00502AB0">
      <w:pPr>
        <w:shd w:val="clear" w:color="auto" w:fill="FFFFFF"/>
        <w:spacing w:after="150" w:line="480" w:lineRule="atLeast"/>
        <w:textAlignment w:val="baseline"/>
        <w:outlineLvl w:val="2"/>
        <w:rPr>
          <w:rFonts w:ascii="Helvetica" w:eastAsia="Times New Roman" w:hAnsi="Helvetica" w:cs="Helvetica"/>
          <w:b/>
          <w:bCs/>
          <w:color w:val="333333"/>
          <w:sz w:val="24"/>
          <w:szCs w:val="24"/>
          <w:lang w:val="en-GB" w:eastAsia="en-GB"/>
        </w:rPr>
      </w:pPr>
      <w:r w:rsidRPr="00502AB0">
        <w:rPr>
          <w:rFonts w:ascii="Helvetica" w:eastAsia="Times New Roman" w:hAnsi="Helvetica" w:cs="Helvetica"/>
          <w:b/>
          <w:bCs/>
          <w:color w:val="333333"/>
          <w:sz w:val="24"/>
          <w:szCs w:val="24"/>
          <w:lang w:val="en-GB" w:eastAsia="en-GB"/>
        </w:rPr>
        <w:t>Statement of Cash Flows</w:t>
      </w:r>
    </w:p>
    <w:p w:rsidR="00502AB0" w:rsidRPr="00502AB0" w:rsidRDefault="00502AB0" w:rsidP="00502AB0">
      <w:pPr>
        <w:shd w:val="clear" w:color="auto" w:fill="FFFFFF"/>
        <w:spacing w:after="30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The statement of cash flows explains the change in a company's cash (and cash equivalents) during the time interval indicated in the heading of the statement. The change is divided into three parts: (1) operating activities, (2) investing activities, and (3) financing activities.</w:t>
      </w:r>
    </w:p>
    <w:p w:rsidR="00502AB0" w:rsidRPr="00502AB0" w:rsidRDefault="00502AB0" w:rsidP="00502AB0">
      <w:pPr>
        <w:shd w:val="clear" w:color="auto" w:fill="FFFFFF"/>
        <w:spacing w:after="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The </w:t>
      </w:r>
      <w:r w:rsidRPr="00502AB0">
        <w:rPr>
          <w:rFonts w:ascii="inherit" w:eastAsia="Times New Roman" w:hAnsi="inherit" w:cs="Helvetica"/>
          <w:i/>
          <w:iCs/>
          <w:color w:val="333333"/>
          <w:sz w:val="21"/>
          <w:szCs w:val="21"/>
          <w:bdr w:val="none" w:sz="0" w:space="0" w:color="auto" w:frame="1"/>
          <w:lang w:val="en-GB" w:eastAsia="en-GB"/>
        </w:rPr>
        <w:t>operating activities</w:t>
      </w:r>
      <w:r w:rsidRPr="00502AB0">
        <w:rPr>
          <w:rFonts w:ascii="Helvetica" w:eastAsia="Times New Roman" w:hAnsi="Helvetica" w:cs="Helvetica"/>
          <w:color w:val="333333"/>
          <w:sz w:val="21"/>
          <w:szCs w:val="21"/>
          <w:lang w:val="en-GB" w:eastAsia="en-GB"/>
        </w:rPr>
        <w:t> section explains how a company's cash (and cash equivalents) have changed due to operations. </w:t>
      </w:r>
      <w:r w:rsidRPr="00502AB0">
        <w:rPr>
          <w:rFonts w:ascii="inherit" w:eastAsia="Times New Roman" w:hAnsi="inherit" w:cs="Helvetica"/>
          <w:i/>
          <w:iCs/>
          <w:color w:val="333333"/>
          <w:sz w:val="21"/>
          <w:szCs w:val="21"/>
          <w:bdr w:val="none" w:sz="0" w:space="0" w:color="auto" w:frame="1"/>
          <w:lang w:val="en-GB" w:eastAsia="en-GB"/>
        </w:rPr>
        <w:t>Investing activities</w:t>
      </w:r>
      <w:r w:rsidRPr="00502AB0">
        <w:rPr>
          <w:rFonts w:ascii="Helvetica" w:eastAsia="Times New Roman" w:hAnsi="Helvetica" w:cs="Helvetica"/>
          <w:color w:val="333333"/>
          <w:sz w:val="21"/>
          <w:szCs w:val="21"/>
          <w:lang w:val="en-GB" w:eastAsia="en-GB"/>
        </w:rPr>
        <w:t> refer to amounts spent or received in transactions involving long-term assets. The </w:t>
      </w:r>
      <w:r w:rsidRPr="00502AB0">
        <w:rPr>
          <w:rFonts w:ascii="inherit" w:eastAsia="Times New Roman" w:hAnsi="inherit" w:cs="Helvetica"/>
          <w:i/>
          <w:iCs/>
          <w:color w:val="333333"/>
          <w:sz w:val="21"/>
          <w:szCs w:val="21"/>
          <w:bdr w:val="none" w:sz="0" w:space="0" w:color="auto" w:frame="1"/>
          <w:lang w:val="en-GB" w:eastAsia="en-GB"/>
        </w:rPr>
        <w:t>financing activities</w:t>
      </w:r>
      <w:r w:rsidRPr="00502AB0">
        <w:rPr>
          <w:rFonts w:ascii="Helvetica" w:eastAsia="Times New Roman" w:hAnsi="Helvetica" w:cs="Helvetica"/>
          <w:color w:val="333333"/>
          <w:sz w:val="21"/>
          <w:szCs w:val="21"/>
          <w:lang w:val="en-GB" w:eastAsia="en-GB"/>
        </w:rPr>
        <w:t> section reports such things as cash received through the issuance of long-term debt, the issuance of stock, or money spent to retire long-term liabilities. (You can learn more about the statement of cash flows at </w:t>
      </w:r>
      <w:hyperlink r:id="rId19" w:history="1">
        <w:r w:rsidRPr="00502AB0">
          <w:rPr>
            <w:rFonts w:ascii="inherit" w:eastAsia="Times New Roman" w:hAnsi="inherit" w:cs="Helvetica"/>
            <w:b/>
            <w:bCs/>
            <w:color w:val="4185B1"/>
            <w:sz w:val="21"/>
            <w:szCs w:val="21"/>
            <w:u w:val="single"/>
            <w:bdr w:val="none" w:sz="0" w:space="0" w:color="auto" w:frame="1"/>
            <w:lang w:val="en-GB" w:eastAsia="en-GB"/>
          </w:rPr>
          <w:t>Explanation of Cash Flow Statement</w:t>
        </w:r>
      </w:hyperlink>
      <w:r w:rsidRPr="00502AB0">
        <w:rPr>
          <w:rFonts w:ascii="Helvetica" w:eastAsia="Times New Roman" w:hAnsi="Helvetica" w:cs="Helvetica"/>
          <w:color w:val="333333"/>
          <w:sz w:val="21"/>
          <w:szCs w:val="21"/>
          <w:bdr w:val="none" w:sz="0" w:space="0" w:color="auto" w:frame="1"/>
          <w:lang w:val="en-GB" w:eastAsia="en-GB"/>
        </w:rPr>
        <w:t>.</w:t>
      </w:r>
      <w:r w:rsidRPr="00502AB0">
        <w:rPr>
          <w:rFonts w:ascii="Helvetica" w:eastAsia="Times New Roman" w:hAnsi="Helvetica" w:cs="Helvetica"/>
          <w:color w:val="333333"/>
          <w:sz w:val="21"/>
          <w:szCs w:val="21"/>
          <w:lang w:val="en-GB" w:eastAsia="en-GB"/>
        </w:rPr>
        <w:t>)</w:t>
      </w:r>
    </w:p>
    <w:p w:rsidR="00502AB0" w:rsidRPr="00502AB0" w:rsidRDefault="00502AB0" w:rsidP="00502AB0">
      <w:pPr>
        <w:shd w:val="clear" w:color="auto" w:fill="FFFFFF"/>
        <w:spacing w:after="150" w:line="480" w:lineRule="atLeast"/>
        <w:textAlignment w:val="baseline"/>
        <w:outlineLvl w:val="2"/>
        <w:rPr>
          <w:rFonts w:ascii="Helvetica" w:eastAsia="Times New Roman" w:hAnsi="Helvetica" w:cs="Helvetica"/>
          <w:b/>
          <w:bCs/>
          <w:color w:val="333333"/>
          <w:sz w:val="24"/>
          <w:szCs w:val="24"/>
          <w:lang w:val="en-GB" w:eastAsia="en-GB"/>
        </w:rPr>
      </w:pPr>
      <w:r w:rsidRPr="00502AB0">
        <w:rPr>
          <w:rFonts w:ascii="Helvetica" w:eastAsia="Times New Roman" w:hAnsi="Helvetica" w:cs="Helvetica"/>
          <w:b/>
          <w:bCs/>
          <w:color w:val="333333"/>
          <w:sz w:val="24"/>
          <w:szCs w:val="24"/>
          <w:lang w:val="en-GB" w:eastAsia="en-GB"/>
        </w:rPr>
        <w:t>Statement of Stockholders' Equity</w:t>
      </w:r>
    </w:p>
    <w:p w:rsidR="00502AB0" w:rsidRPr="00502AB0" w:rsidRDefault="00502AB0" w:rsidP="00502AB0">
      <w:pPr>
        <w:shd w:val="clear" w:color="auto" w:fill="FFFFFF"/>
        <w:spacing w:after="300" w:line="240" w:lineRule="auto"/>
        <w:textAlignment w:val="baseline"/>
        <w:rPr>
          <w:rFonts w:ascii="Helvetica" w:eastAsia="Times New Roman" w:hAnsi="Helvetica" w:cs="Helvetica"/>
          <w:color w:val="333333"/>
          <w:sz w:val="21"/>
          <w:szCs w:val="21"/>
          <w:lang w:val="en-GB" w:eastAsia="en-GB"/>
        </w:rPr>
      </w:pPr>
      <w:r w:rsidRPr="00502AB0">
        <w:rPr>
          <w:rFonts w:ascii="Helvetica" w:eastAsia="Times New Roman" w:hAnsi="Helvetica" w:cs="Helvetica"/>
          <w:color w:val="333333"/>
          <w:sz w:val="21"/>
          <w:szCs w:val="21"/>
          <w:lang w:val="en-GB" w:eastAsia="en-GB"/>
        </w:rPr>
        <w:t>The statement of stockholders' (or shareholders') equity lists the changes in stockholders' equity for the same period as the income statement and the cash flow statement. The changes will include items such as net income, other comprehensive income, dividends, the repurchase of common stock, and the exercise of stock options.</w:t>
      </w:r>
    </w:p>
    <w:p w:rsidR="006E04EE" w:rsidRDefault="00E13CD5">
      <w:bookmarkStart w:id="0" w:name="_GoBack"/>
      <w:bookmarkEnd w:id="0"/>
    </w:p>
    <w:sectPr w:rsidR="006E04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C3D0F"/>
    <w:multiLevelType w:val="multilevel"/>
    <w:tmpl w:val="37DC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1A4336"/>
    <w:multiLevelType w:val="multilevel"/>
    <w:tmpl w:val="773E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B0"/>
    <w:rsid w:val="00474558"/>
    <w:rsid w:val="00502AB0"/>
    <w:rsid w:val="007A6F62"/>
    <w:rsid w:val="00AB6787"/>
    <w:rsid w:val="00E1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18E6D-474B-49FB-818A-D8D93D5E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02AB0"/>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502AB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AB0"/>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502AB0"/>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502A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break">
    <w:name w:val="no-break"/>
    <w:basedOn w:val="DefaultParagraphFont"/>
    <w:rsid w:val="00502AB0"/>
  </w:style>
  <w:style w:type="character" w:styleId="Hyperlink">
    <w:name w:val="Hyperlink"/>
    <w:basedOn w:val="DefaultParagraphFont"/>
    <w:uiPriority w:val="99"/>
    <w:semiHidden/>
    <w:unhideWhenUsed/>
    <w:rsid w:val="00502AB0"/>
    <w:rPr>
      <w:color w:val="0000FF"/>
      <w:u w:val="single"/>
    </w:rPr>
  </w:style>
  <w:style w:type="character" w:styleId="Emphasis">
    <w:name w:val="Emphasis"/>
    <w:basedOn w:val="DefaultParagraphFont"/>
    <w:uiPriority w:val="20"/>
    <w:qFormat/>
    <w:rsid w:val="00502A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708920">
      <w:bodyDiv w:val="1"/>
      <w:marLeft w:val="0"/>
      <w:marRight w:val="0"/>
      <w:marTop w:val="0"/>
      <w:marBottom w:val="0"/>
      <w:divBdr>
        <w:top w:val="none" w:sz="0" w:space="0" w:color="auto"/>
        <w:left w:val="none" w:sz="0" w:space="0" w:color="auto"/>
        <w:bottom w:val="none" w:sz="0" w:space="0" w:color="auto"/>
        <w:right w:val="none" w:sz="0" w:space="0" w:color="auto"/>
      </w:divBdr>
      <w:divsChild>
        <w:div w:id="801535427">
          <w:marLeft w:val="0"/>
          <w:marRight w:val="0"/>
          <w:marTop w:val="420"/>
          <w:marBottom w:val="420"/>
          <w:divBdr>
            <w:top w:val="none" w:sz="0" w:space="0" w:color="auto"/>
            <w:left w:val="none" w:sz="0" w:space="0" w:color="auto"/>
            <w:bottom w:val="none" w:sz="0" w:space="0" w:color="auto"/>
            <w:right w:val="none" w:sz="0" w:space="0" w:color="auto"/>
          </w:divBdr>
        </w:div>
        <w:div w:id="1903179206">
          <w:marLeft w:val="0"/>
          <w:marRight w:val="0"/>
          <w:marTop w:val="42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coach.com/terms/C/credit-debt" TargetMode="External"/><Relationship Id="rId13" Type="http://schemas.openxmlformats.org/officeDocument/2006/relationships/hyperlink" Target="https://www.accountingcoach.com/financial-accounting/explanation" TargetMode="External"/><Relationship Id="rId18" Type="http://schemas.openxmlformats.org/officeDocument/2006/relationships/hyperlink" Target="https://www.accountingcoach.com/balance-sheet/explan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ccountingcoach.com/terms/D/debit" TargetMode="External"/><Relationship Id="rId12" Type="http://schemas.openxmlformats.org/officeDocument/2006/relationships/hyperlink" Target="https://www.accountingcoach.com/adjusting-entries/explanation" TargetMode="External"/><Relationship Id="rId17" Type="http://schemas.openxmlformats.org/officeDocument/2006/relationships/hyperlink" Target="https://www.accountingcoach.com/income-statement/explanation" TargetMode="External"/><Relationship Id="rId2" Type="http://schemas.openxmlformats.org/officeDocument/2006/relationships/styles" Target="styles.xml"/><Relationship Id="rId16" Type="http://schemas.openxmlformats.org/officeDocument/2006/relationships/hyperlink" Target="https://www.accountingcoach.com/financial-accounting/explan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ccountingcoach.com/terms/N/notes-payable" TargetMode="External"/><Relationship Id="rId11" Type="http://schemas.openxmlformats.org/officeDocument/2006/relationships/hyperlink" Target="https://www.accountingcoach.com/terms/A/accrual-basis-of-accounting" TargetMode="External"/><Relationship Id="rId5" Type="http://schemas.openxmlformats.org/officeDocument/2006/relationships/hyperlink" Target="https://www.accountingcoach.com/terms/C/cash" TargetMode="External"/><Relationship Id="rId15" Type="http://schemas.openxmlformats.org/officeDocument/2006/relationships/hyperlink" Target="http://www.fasb.org/" TargetMode="External"/><Relationship Id="rId10" Type="http://schemas.openxmlformats.org/officeDocument/2006/relationships/hyperlink" Target="https://www.accountingcoach.com/accounting-equation/explanation" TargetMode="External"/><Relationship Id="rId19" Type="http://schemas.openxmlformats.org/officeDocument/2006/relationships/hyperlink" Target="https://www.accountingcoach.com/cash-flow-statement/explanation" TargetMode="External"/><Relationship Id="rId4" Type="http://schemas.openxmlformats.org/officeDocument/2006/relationships/webSettings" Target="webSettings.xml"/><Relationship Id="rId9" Type="http://schemas.openxmlformats.org/officeDocument/2006/relationships/hyperlink" Target="https://www.accountingcoach.com/debits-and-credits/explanation" TargetMode="External"/><Relationship Id="rId14" Type="http://schemas.openxmlformats.org/officeDocument/2006/relationships/hyperlink" Target="https://www.accountingcoach.com/accounting-principles/expla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dc:creator>
  <cp:keywords/>
  <dc:description/>
  <cp:lastModifiedBy>Aamir</cp:lastModifiedBy>
  <cp:revision>2</cp:revision>
  <dcterms:created xsi:type="dcterms:W3CDTF">2020-04-22T12:22:00Z</dcterms:created>
  <dcterms:modified xsi:type="dcterms:W3CDTF">2020-04-22T12:22:00Z</dcterms:modified>
</cp:coreProperties>
</file>