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0B" w:rsidRPr="00AA5F87" w:rsidRDefault="0061370B" w:rsidP="00AA5F87">
      <w:pPr>
        <w:rPr>
          <w:lang/>
        </w:rPr>
      </w:pPr>
      <w:r w:rsidRPr="00AA5F87">
        <w:rPr>
          <w:lang/>
        </w:rPr>
        <w:t>Parliamentary sovereignty in the United Kingdom</w:t>
      </w:r>
    </w:p>
    <w:p w:rsidR="0061370B" w:rsidRPr="00AA5F87" w:rsidRDefault="0061370B" w:rsidP="00AA5F87">
      <w:pPr>
        <w:rPr>
          <w:rFonts w:ascii="Arial" w:hAnsi="Arial" w:cs="Arial"/>
          <w:sz w:val="19"/>
          <w:szCs w:val="19"/>
        </w:rPr>
      </w:pPr>
    </w:p>
    <w:p w:rsidR="0061370B" w:rsidRPr="00AA5F87" w:rsidRDefault="0061370B" w:rsidP="00AA5F87">
      <w:pPr>
        <w:rPr>
          <w:rFonts w:ascii="Arial" w:hAnsi="Arial" w:cs="Arial"/>
          <w:lang/>
        </w:rPr>
      </w:pPr>
      <w:hyperlink r:id="rId5" w:tooltip="Parliamentary sovereignty" w:history="1">
        <w:r w:rsidRPr="00AA5F87">
          <w:rPr>
            <w:rStyle w:val="Hyperlink"/>
            <w:rFonts w:ascii="Arial" w:hAnsi="Arial" w:cs="Arial"/>
            <w:b/>
            <w:bCs/>
            <w:color w:val="auto"/>
            <w:lang/>
          </w:rPr>
          <w:t>Parliamentary sovereignty</w:t>
        </w:r>
      </w:hyperlink>
      <w:r w:rsidRPr="00AA5F87">
        <w:rPr>
          <w:rFonts w:ascii="Arial" w:hAnsi="Arial" w:cs="Arial"/>
          <w:lang/>
        </w:rPr>
        <w:t> in the </w:t>
      </w:r>
      <w:hyperlink r:id="rId6" w:tooltip="United Kingdom" w:history="1">
        <w:r w:rsidRPr="00AA5F87">
          <w:rPr>
            <w:rStyle w:val="Hyperlink"/>
            <w:rFonts w:ascii="Arial" w:hAnsi="Arial" w:cs="Arial"/>
            <w:b/>
            <w:bCs/>
            <w:color w:val="auto"/>
            <w:lang/>
          </w:rPr>
          <w:t>United Kingdom</w:t>
        </w:r>
      </w:hyperlink>
      <w:r w:rsidRPr="00AA5F87">
        <w:rPr>
          <w:rFonts w:ascii="Arial" w:hAnsi="Arial" w:cs="Arial"/>
          <w:lang/>
        </w:rPr>
        <w:t> is a concept central to the functioning of the </w:t>
      </w:r>
      <w:hyperlink r:id="rId7" w:tooltip="Constitution of the United Kingdom" w:history="1">
        <w:r w:rsidRPr="00AA5F87">
          <w:rPr>
            <w:rStyle w:val="Hyperlink"/>
            <w:rFonts w:ascii="Arial" w:hAnsi="Arial" w:cs="Arial"/>
            <w:color w:val="auto"/>
            <w:lang/>
          </w:rPr>
          <w:t>constitution of the United Kingdom</w:t>
        </w:r>
      </w:hyperlink>
      <w:r w:rsidRPr="00AA5F87">
        <w:rPr>
          <w:rFonts w:ascii="Arial" w:hAnsi="Arial" w:cs="Arial"/>
          <w:lang/>
        </w:rPr>
        <w:t> but which is also not fully defined and has long been debated. Since the subordination of the </w:t>
      </w:r>
      <w:hyperlink r:id="rId8" w:tooltip="Monarchy of the United Kingdom" w:history="1">
        <w:r w:rsidRPr="00AA5F87">
          <w:rPr>
            <w:rStyle w:val="Hyperlink"/>
            <w:rFonts w:ascii="Arial" w:hAnsi="Arial" w:cs="Arial"/>
            <w:color w:val="auto"/>
            <w:lang/>
          </w:rPr>
          <w:t>monarchy</w:t>
        </w:r>
      </w:hyperlink>
      <w:r w:rsidRPr="00AA5F87">
        <w:rPr>
          <w:rFonts w:ascii="Arial" w:hAnsi="Arial" w:cs="Arial"/>
          <w:lang/>
        </w:rPr>
        <w:t> under parliament, and the increasingly democratic methods of parliamentary government, there have been the questions of whether parliament holds a supreme ability to legislate and whether or not it should.</w:t>
      </w:r>
    </w:p>
    <w:p w:rsidR="0061370B" w:rsidRPr="00AA5F87" w:rsidRDefault="0061370B" w:rsidP="00AA5F87">
      <w:pPr>
        <w:rPr>
          <w:rFonts w:ascii="Arial" w:hAnsi="Arial" w:cs="Arial"/>
          <w:lang/>
        </w:rPr>
      </w:pPr>
      <w:r w:rsidRPr="00AA5F87">
        <w:rPr>
          <w:rFonts w:ascii="Arial" w:hAnsi="Arial" w:cs="Arial"/>
          <w:lang/>
        </w:rPr>
        <w:t>Parliamentary sovereignty is a description of to what extent the </w:t>
      </w:r>
      <w:hyperlink r:id="rId9" w:tooltip="Parliament of the United Kingdom" w:history="1">
        <w:r w:rsidRPr="00AA5F87">
          <w:rPr>
            <w:rStyle w:val="Hyperlink"/>
            <w:rFonts w:ascii="Arial" w:hAnsi="Arial" w:cs="Arial"/>
            <w:color w:val="auto"/>
            <w:lang/>
          </w:rPr>
          <w:t>Parliament of the United Kingdom</w:t>
        </w:r>
      </w:hyperlink>
      <w:r w:rsidRPr="00AA5F87">
        <w:rPr>
          <w:rFonts w:ascii="Arial" w:hAnsi="Arial" w:cs="Arial"/>
          <w:lang/>
        </w:rPr>
        <w:t> does have absolute and unlimited power. It is framed in terms of the extent of authority that parliament holds, and whether there are any sorts of law that it cannot pass. In other countries, a </w:t>
      </w:r>
      <w:hyperlink r:id="rId10" w:tooltip="Written constitution" w:history="1">
        <w:r w:rsidRPr="00AA5F87">
          <w:rPr>
            <w:rStyle w:val="Hyperlink"/>
            <w:rFonts w:ascii="Arial" w:hAnsi="Arial" w:cs="Arial"/>
            <w:color w:val="auto"/>
            <w:lang/>
          </w:rPr>
          <w:t>written constitution</w:t>
        </w:r>
      </w:hyperlink>
      <w:r w:rsidRPr="00AA5F87">
        <w:rPr>
          <w:rFonts w:ascii="Arial" w:hAnsi="Arial" w:cs="Arial"/>
          <w:lang/>
        </w:rPr>
        <w:t> often binds the parliament to act in a certain way, but there is no </w:t>
      </w:r>
      <w:hyperlink r:id="rId11" w:tooltip="Codified constitution" w:history="1">
        <w:r w:rsidRPr="00AA5F87">
          <w:rPr>
            <w:rStyle w:val="Hyperlink"/>
            <w:rFonts w:ascii="Arial" w:hAnsi="Arial" w:cs="Arial"/>
            <w:color w:val="auto"/>
            <w:lang/>
          </w:rPr>
          <w:t>codified constitution</w:t>
        </w:r>
      </w:hyperlink>
      <w:r w:rsidRPr="00AA5F87">
        <w:rPr>
          <w:rFonts w:ascii="Arial" w:hAnsi="Arial" w:cs="Arial"/>
          <w:lang/>
        </w:rPr>
        <w:t xml:space="preserve"> in the United Kingdom. In the United Kingdom, parliament is central to the institutions of state. </w:t>
      </w:r>
    </w:p>
    <w:p w:rsidR="0061370B" w:rsidRPr="00AA5F87" w:rsidRDefault="0061370B" w:rsidP="00AA5F87">
      <w:pPr>
        <w:rPr>
          <w:rFonts w:ascii="Arial" w:hAnsi="Arial" w:cs="Arial"/>
          <w:lang/>
        </w:rPr>
      </w:pPr>
      <w:r w:rsidRPr="00AA5F87">
        <w:rPr>
          <w:rFonts w:ascii="Arial" w:hAnsi="Arial" w:cs="Arial"/>
          <w:lang/>
        </w:rPr>
        <w:t>The traditional view put forward by </w:t>
      </w:r>
      <w:hyperlink r:id="rId12" w:tooltip="A. V. Dicey" w:history="1">
        <w:r w:rsidRPr="00AA5F87">
          <w:rPr>
            <w:rStyle w:val="Hyperlink"/>
            <w:rFonts w:ascii="Arial" w:hAnsi="Arial" w:cs="Arial"/>
            <w:color w:val="auto"/>
            <w:lang/>
          </w:rPr>
          <w:t>A. V. Dicey</w:t>
        </w:r>
      </w:hyperlink>
      <w:r w:rsidRPr="00AA5F87">
        <w:rPr>
          <w:rFonts w:ascii="Arial" w:hAnsi="Arial" w:cs="Arial"/>
          <w:lang/>
        </w:rPr>
        <w:t> is that parliament had the power to make any law except any law that bound its successors. Formally speaking however, the present state that is the UK is descended from the international Treaty of Union between England and Scotland in 1706/7 which led to the creation of the “United Kingdom of Great Britain”. It is clear that the terms of that Treaty stated that certain of its provisions could not be altered, for example the separate existence of the Scottish legal system, and formally, these restrictions are a continuing limitation on the sovereignty of the UK Parliament. This has also been reconsidered by constitutional theorists including </w:t>
      </w:r>
      <w:hyperlink r:id="rId13" w:tooltip="Sir William Wade" w:history="1">
        <w:r w:rsidRPr="00AA5F87">
          <w:rPr>
            <w:rStyle w:val="Hyperlink"/>
            <w:rFonts w:ascii="Arial" w:hAnsi="Arial" w:cs="Arial"/>
            <w:color w:val="auto"/>
            <w:lang/>
          </w:rPr>
          <w:t>Sir William Wade</w:t>
        </w:r>
      </w:hyperlink>
      <w:r w:rsidRPr="00AA5F87">
        <w:rPr>
          <w:rFonts w:ascii="Arial" w:hAnsi="Arial" w:cs="Arial"/>
          <w:lang/>
        </w:rPr>
        <w:t> and </w:t>
      </w:r>
      <w:hyperlink r:id="rId14" w:tooltip="Trevor Allan (legal philosopher)" w:history="1">
        <w:r w:rsidRPr="00AA5F87">
          <w:rPr>
            <w:rStyle w:val="Hyperlink"/>
            <w:rFonts w:ascii="Arial" w:hAnsi="Arial" w:cs="Arial"/>
            <w:color w:val="auto"/>
            <w:lang/>
          </w:rPr>
          <w:t>Trevor Allan</w:t>
        </w:r>
      </w:hyperlink>
      <w:r w:rsidRPr="00AA5F87">
        <w:rPr>
          <w:rFonts w:ascii="Arial" w:hAnsi="Arial" w:cs="Arial"/>
          <w:lang/>
        </w:rPr>
        <w:t> in light of the </w:t>
      </w:r>
      <w:hyperlink r:id="rId15" w:tooltip="European Communities Act 1972 (UK)" w:history="1">
        <w:r w:rsidRPr="00AA5F87">
          <w:rPr>
            <w:rStyle w:val="Hyperlink"/>
            <w:rFonts w:ascii="Arial" w:hAnsi="Arial" w:cs="Arial"/>
            <w:color w:val="auto"/>
            <w:lang/>
          </w:rPr>
          <w:t>European Communities Act 1972</w:t>
        </w:r>
      </w:hyperlink>
      <w:r w:rsidRPr="00AA5F87">
        <w:rPr>
          <w:rFonts w:ascii="Arial" w:hAnsi="Arial" w:cs="Arial"/>
          <w:lang/>
        </w:rPr>
        <w:t> and other provisions relating to membership of the European Union, and the position of the </w:t>
      </w:r>
      <w:hyperlink r:id="rId16" w:tooltip="Human Rights Act 1998" w:history="1">
        <w:r w:rsidRPr="00AA5F87">
          <w:rPr>
            <w:rStyle w:val="Hyperlink"/>
            <w:rFonts w:ascii="Arial" w:hAnsi="Arial" w:cs="Arial"/>
            <w:color w:val="auto"/>
            <w:lang/>
          </w:rPr>
          <w:t>Human Rights Act 1998</w:t>
        </w:r>
      </w:hyperlink>
      <w:r w:rsidRPr="00AA5F87">
        <w:rPr>
          <w:rFonts w:ascii="Arial" w:hAnsi="Arial" w:cs="Arial"/>
          <w:lang/>
        </w:rPr>
        <w:t> and any attempts to make this or other legislation </w:t>
      </w:r>
      <w:hyperlink r:id="rId17" w:tooltip="Entrenched legislation" w:history="1">
        <w:r w:rsidRPr="00AA5F87">
          <w:rPr>
            <w:rStyle w:val="Hyperlink"/>
            <w:rFonts w:ascii="Arial" w:hAnsi="Arial" w:cs="Arial"/>
            <w:color w:val="auto"/>
            <w:lang/>
          </w:rPr>
          <w:t>entrenched</w:t>
        </w:r>
      </w:hyperlink>
      <w:r w:rsidRPr="00AA5F87">
        <w:rPr>
          <w:rFonts w:ascii="Arial" w:hAnsi="Arial" w:cs="Arial"/>
          <w:lang/>
        </w:rPr>
        <w:t>. These issues remain contested, although the United Kingdom has since ceased membership of the EU.</w:t>
      </w:r>
    </w:p>
    <w:p w:rsidR="0061370B" w:rsidRPr="00AA5F87" w:rsidRDefault="0061370B" w:rsidP="00AA5F87">
      <w:pPr>
        <w:rPr>
          <w:rFonts w:ascii="Arial" w:hAnsi="Arial" w:cs="Arial"/>
          <w:lang/>
        </w:rPr>
      </w:pPr>
      <w:r w:rsidRPr="00AA5F87">
        <w:rPr>
          <w:rFonts w:ascii="Arial" w:hAnsi="Arial" w:cs="Arial"/>
          <w:lang/>
        </w:rPr>
        <w:t>The terms "parliamentary sovereignty" and "parliamentary supremacy" are often used interchangeably. The term "sovereignty" implies a similarity to the question of </w:t>
      </w:r>
      <w:hyperlink r:id="rId18" w:tooltip="National sovereignty" w:history="1">
        <w:r w:rsidRPr="00AA5F87">
          <w:rPr>
            <w:rStyle w:val="Hyperlink"/>
            <w:rFonts w:ascii="Arial" w:hAnsi="Arial" w:cs="Arial"/>
            <w:color w:val="auto"/>
            <w:lang/>
          </w:rPr>
          <w:t>national sovereignty</w:t>
        </w:r>
      </w:hyperlink>
      <w:r w:rsidRPr="00AA5F87">
        <w:rPr>
          <w:rFonts w:ascii="Arial" w:hAnsi="Arial" w:cs="Arial"/>
          <w:lang/>
        </w:rPr>
        <w:t>. While writer </w:t>
      </w:r>
      <w:hyperlink r:id="rId19" w:tooltip="John Austin (legal philosopher)" w:history="1">
        <w:r w:rsidRPr="00AA5F87">
          <w:rPr>
            <w:rStyle w:val="Hyperlink"/>
            <w:rFonts w:ascii="Arial" w:hAnsi="Arial" w:cs="Arial"/>
            <w:color w:val="auto"/>
            <w:lang/>
          </w:rPr>
          <w:t>John Austin</w:t>
        </w:r>
      </w:hyperlink>
      <w:r w:rsidRPr="00AA5F87">
        <w:rPr>
          <w:rFonts w:ascii="Arial" w:hAnsi="Arial" w:cs="Arial"/>
          <w:lang/>
        </w:rPr>
        <w:t> and others have looked to combine parliamentary and national sovereignty, this view is not universally held. Whichever term is used, it relates to the existence or non-existence of limits on parliament's power in its legislative role. Although the </w:t>
      </w:r>
      <w:hyperlink r:id="rId20" w:tooltip="House of Commons (UK)" w:history="1">
        <w:r w:rsidRPr="00AA5F87">
          <w:rPr>
            <w:rStyle w:val="Hyperlink"/>
            <w:rFonts w:ascii="Arial" w:hAnsi="Arial" w:cs="Arial"/>
            <w:color w:val="auto"/>
            <w:lang/>
          </w:rPr>
          <w:t>House of Commons</w:t>
        </w:r>
      </w:hyperlink>
      <w:r w:rsidRPr="00AA5F87">
        <w:rPr>
          <w:rFonts w:ascii="Arial" w:hAnsi="Arial" w:cs="Arial"/>
          <w:lang/>
        </w:rPr>
        <w:t>' dominance within the </w:t>
      </w:r>
      <w:hyperlink r:id="rId21" w:tooltip="Houses of Parliament" w:history="1">
        <w:r w:rsidRPr="00AA5F87">
          <w:rPr>
            <w:rStyle w:val="Hyperlink"/>
            <w:rFonts w:ascii="Arial" w:hAnsi="Arial" w:cs="Arial"/>
            <w:color w:val="auto"/>
            <w:lang/>
          </w:rPr>
          <w:t>Houses of Parliament</w:t>
        </w:r>
      </w:hyperlink>
      <w:r w:rsidRPr="00AA5F87">
        <w:rPr>
          <w:rFonts w:ascii="Arial" w:hAnsi="Arial" w:cs="Arial"/>
          <w:lang/>
        </w:rPr>
        <w:t> is well attested, "parliamentary sovereignty" refers to their joint power. Almost all legislation is passed with the support of the </w:t>
      </w:r>
      <w:hyperlink r:id="rId22" w:tooltip="House of Lords" w:history="1">
        <w:r w:rsidRPr="00AA5F87">
          <w:rPr>
            <w:rStyle w:val="Hyperlink"/>
            <w:rFonts w:ascii="Arial" w:hAnsi="Arial" w:cs="Arial"/>
            <w:color w:val="auto"/>
            <w:lang/>
          </w:rPr>
          <w:t>House of Lords</w:t>
        </w:r>
      </w:hyperlink>
      <w:r w:rsidRPr="00AA5F87">
        <w:rPr>
          <w:rFonts w:ascii="Arial" w:hAnsi="Arial" w:cs="Arial"/>
          <w:lang/>
        </w:rPr>
        <w:t xml:space="preserve">. </w:t>
      </w:r>
    </w:p>
    <w:p w:rsidR="0061370B" w:rsidRPr="00AA5F87" w:rsidRDefault="0061370B" w:rsidP="00AA5F87">
      <w:pPr>
        <w:rPr>
          <w:rFonts w:ascii="Arial" w:hAnsi="Arial" w:cs="Arial"/>
          <w:sz w:val="20"/>
          <w:szCs w:val="20"/>
          <w:lang/>
        </w:rPr>
      </w:pPr>
      <w:r w:rsidRPr="00AA5F87">
        <w:rPr>
          <w:rFonts w:ascii="Arial" w:hAnsi="Arial" w:cs="Arial"/>
          <w:sz w:val="20"/>
          <w:szCs w:val="20"/>
          <w:lang/>
        </w:rPr>
        <w:object w:dxaOrig="40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25pt;height:18pt" o:ole="">
            <v:imagedata r:id="rId23" o:title=""/>
          </v:shape>
          <w:control r:id="rId24" w:name="DefaultOcxName" w:shapeid="_x0000_i1027"/>
        </w:object>
      </w:r>
    </w:p>
    <w:p w:rsidR="0061370B" w:rsidRPr="00AA5F87" w:rsidRDefault="0061370B" w:rsidP="00AA5F87">
      <w:pPr>
        <w:rPr>
          <w:rFonts w:ascii="Arial" w:hAnsi="Arial" w:cs="Arial"/>
          <w:sz w:val="20"/>
          <w:szCs w:val="20"/>
          <w:lang/>
        </w:rPr>
      </w:pPr>
      <w:r w:rsidRPr="00AA5F87">
        <w:rPr>
          <w:rFonts w:ascii="Arial" w:hAnsi="Arial" w:cs="Arial"/>
          <w:sz w:val="20"/>
          <w:szCs w:val="20"/>
          <w:lang/>
        </w:rPr>
        <w:t>Contents</w:t>
      </w:r>
    </w:p>
    <w:p w:rsidR="0061370B" w:rsidRPr="00AA5F87" w:rsidRDefault="0061370B" w:rsidP="00AA5F87">
      <w:pPr>
        <w:rPr>
          <w:rFonts w:ascii="Arial" w:hAnsi="Arial" w:cs="Arial"/>
          <w:sz w:val="20"/>
          <w:szCs w:val="20"/>
          <w:lang/>
        </w:rPr>
      </w:pPr>
      <w:hyperlink r:id="rId25" w:anchor="History" w:history="1">
        <w:r w:rsidRPr="00AA5F87">
          <w:rPr>
            <w:rStyle w:val="tocnumber"/>
            <w:rFonts w:ascii="Arial" w:hAnsi="Arial" w:cs="Arial"/>
            <w:sz w:val="20"/>
            <w:szCs w:val="20"/>
            <w:lang/>
          </w:rPr>
          <w:t>1</w:t>
        </w:r>
        <w:r w:rsidRPr="00AA5F87">
          <w:rPr>
            <w:rStyle w:val="toctext"/>
            <w:rFonts w:ascii="Arial" w:hAnsi="Arial" w:cs="Arial"/>
            <w:sz w:val="20"/>
            <w:szCs w:val="20"/>
            <w:lang/>
          </w:rPr>
          <w:t>History</w:t>
        </w:r>
      </w:hyperlink>
    </w:p>
    <w:p w:rsidR="0061370B" w:rsidRPr="00AA5F87" w:rsidRDefault="0061370B" w:rsidP="00AA5F87">
      <w:pPr>
        <w:rPr>
          <w:rFonts w:ascii="Arial" w:hAnsi="Arial" w:cs="Arial"/>
          <w:sz w:val="20"/>
          <w:szCs w:val="20"/>
          <w:lang/>
        </w:rPr>
      </w:pPr>
      <w:hyperlink r:id="rId26" w:anchor="Core_theory" w:history="1">
        <w:r w:rsidRPr="00AA5F87">
          <w:rPr>
            <w:rStyle w:val="tocnumber"/>
            <w:rFonts w:ascii="Arial" w:hAnsi="Arial" w:cs="Arial"/>
            <w:sz w:val="20"/>
            <w:szCs w:val="20"/>
            <w:lang/>
          </w:rPr>
          <w:t>2</w:t>
        </w:r>
        <w:r w:rsidRPr="00AA5F87">
          <w:rPr>
            <w:rStyle w:val="toctext"/>
            <w:rFonts w:ascii="Arial" w:hAnsi="Arial" w:cs="Arial"/>
            <w:sz w:val="20"/>
            <w:szCs w:val="20"/>
            <w:lang/>
          </w:rPr>
          <w:t>Core theory</w:t>
        </w:r>
      </w:hyperlink>
    </w:p>
    <w:p w:rsidR="0061370B" w:rsidRPr="00AA5F87" w:rsidRDefault="0061370B" w:rsidP="00AA5F87">
      <w:pPr>
        <w:rPr>
          <w:rFonts w:ascii="Arial" w:hAnsi="Arial" w:cs="Arial"/>
          <w:sz w:val="20"/>
          <w:szCs w:val="20"/>
          <w:lang/>
        </w:rPr>
      </w:pPr>
      <w:hyperlink r:id="rId27" w:anchor="Application_to_Scotland" w:history="1">
        <w:r w:rsidRPr="00AA5F87">
          <w:rPr>
            <w:rStyle w:val="tocnumber"/>
            <w:rFonts w:ascii="Arial" w:hAnsi="Arial" w:cs="Arial"/>
            <w:sz w:val="20"/>
            <w:szCs w:val="20"/>
            <w:lang/>
          </w:rPr>
          <w:t>3</w:t>
        </w:r>
        <w:r w:rsidRPr="00AA5F87">
          <w:rPr>
            <w:rStyle w:val="toctext"/>
            <w:rFonts w:ascii="Arial" w:hAnsi="Arial" w:cs="Arial"/>
            <w:sz w:val="20"/>
            <w:szCs w:val="20"/>
            <w:lang/>
          </w:rPr>
          <w:t>Application to Scotland</w:t>
        </w:r>
      </w:hyperlink>
    </w:p>
    <w:p w:rsidR="0061370B" w:rsidRPr="00AA5F87" w:rsidRDefault="0061370B" w:rsidP="00AA5F87">
      <w:pPr>
        <w:rPr>
          <w:rFonts w:ascii="Arial" w:hAnsi="Arial" w:cs="Arial"/>
          <w:sz w:val="20"/>
          <w:szCs w:val="20"/>
          <w:lang/>
        </w:rPr>
      </w:pPr>
      <w:hyperlink r:id="rId28" w:anchor="Development" w:history="1">
        <w:r w:rsidRPr="00AA5F87">
          <w:rPr>
            <w:rStyle w:val="tocnumber"/>
            <w:rFonts w:ascii="Arial" w:hAnsi="Arial" w:cs="Arial"/>
            <w:sz w:val="20"/>
            <w:szCs w:val="20"/>
            <w:lang/>
          </w:rPr>
          <w:t>4</w:t>
        </w:r>
        <w:r w:rsidRPr="00AA5F87">
          <w:rPr>
            <w:rStyle w:val="toctext"/>
            <w:rFonts w:ascii="Arial" w:hAnsi="Arial" w:cs="Arial"/>
            <w:sz w:val="20"/>
            <w:szCs w:val="20"/>
            <w:lang/>
          </w:rPr>
          <w:t>Development</w:t>
        </w:r>
      </w:hyperlink>
    </w:p>
    <w:p w:rsidR="0061370B" w:rsidRPr="00AA5F87" w:rsidRDefault="0061370B" w:rsidP="00AA5F87">
      <w:pPr>
        <w:rPr>
          <w:rFonts w:ascii="Arial" w:hAnsi="Arial" w:cs="Arial"/>
          <w:sz w:val="20"/>
          <w:szCs w:val="20"/>
          <w:lang/>
        </w:rPr>
      </w:pPr>
      <w:hyperlink r:id="rId29" w:anchor="Parliament_Acts" w:history="1">
        <w:r w:rsidRPr="00AA5F87">
          <w:rPr>
            <w:rStyle w:val="tocnumber"/>
            <w:rFonts w:ascii="Arial" w:hAnsi="Arial" w:cs="Arial"/>
            <w:sz w:val="20"/>
            <w:szCs w:val="20"/>
            <w:lang/>
          </w:rPr>
          <w:t>4.1</w:t>
        </w:r>
        <w:r w:rsidRPr="00AA5F87">
          <w:rPr>
            <w:rStyle w:val="toctext"/>
            <w:rFonts w:ascii="Arial" w:hAnsi="Arial" w:cs="Arial"/>
            <w:sz w:val="20"/>
            <w:szCs w:val="20"/>
            <w:lang/>
          </w:rPr>
          <w:t>Parliament Acts</w:t>
        </w:r>
      </w:hyperlink>
    </w:p>
    <w:p w:rsidR="0061370B" w:rsidRPr="00AA5F87" w:rsidRDefault="0061370B" w:rsidP="00AA5F87">
      <w:pPr>
        <w:rPr>
          <w:rFonts w:ascii="Arial" w:hAnsi="Arial" w:cs="Arial"/>
          <w:sz w:val="20"/>
          <w:szCs w:val="20"/>
          <w:lang/>
        </w:rPr>
      </w:pPr>
      <w:hyperlink r:id="rId30" w:anchor="European_Union" w:history="1">
        <w:r w:rsidRPr="00AA5F87">
          <w:rPr>
            <w:rStyle w:val="tocnumber"/>
            <w:rFonts w:ascii="Arial" w:hAnsi="Arial" w:cs="Arial"/>
            <w:sz w:val="20"/>
            <w:szCs w:val="20"/>
            <w:lang/>
          </w:rPr>
          <w:t>4.2</w:t>
        </w:r>
        <w:r w:rsidRPr="00AA5F87">
          <w:rPr>
            <w:rStyle w:val="toctext"/>
            <w:rFonts w:ascii="Arial" w:hAnsi="Arial" w:cs="Arial"/>
            <w:sz w:val="20"/>
            <w:szCs w:val="20"/>
            <w:lang/>
          </w:rPr>
          <w:t>European Union</w:t>
        </w:r>
      </w:hyperlink>
    </w:p>
    <w:p w:rsidR="0061370B" w:rsidRPr="00AA5F87" w:rsidRDefault="0061370B" w:rsidP="00AA5F87">
      <w:pPr>
        <w:rPr>
          <w:rFonts w:ascii="Arial" w:hAnsi="Arial" w:cs="Arial"/>
          <w:sz w:val="20"/>
          <w:szCs w:val="20"/>
          <w:lang/>
        </w:rPr>
      </w:pPr>
      <w:hyperlink r:id="rId31" w:anchor="Human_Rights_Act" w:history="1">
        <w:r w:rsidRPr="00AA5F87">
          <w:rPr>
            <w:rStyle w:val="tocnumber"/>
            <w:rFonts w:ascii="Arial" w:hAnsi="Arial" w:cs="Arial"/>
            <w:sz w:val="20"/>
            <w:szCs w:val="20"/>
            <w:lang/>
          </w:rPr>
          <w:t>4.3</w:t>
        </w:r>
        <w:r w:rsidRPr="00AA5F87">
          <w:rPr>
            <w:rStyle w:val="toctext"/>
            <w:rFonts w:ascii="Arial" w:hAnsi="Arial" w:cs="Arial"/>
            <w:sz w:val="20"/>
            <w:szCs w:val="20"/>
            <w:lang/>
          </w:rPr>
          <w:t>Human Rights Act</w:t>
        </w:r>
      </w:hyperlink>
    </w:p>
    <w:p w:rsidR="0061370B" w:rsidRPr="00AA5F87" w:rsidRDefault="0061370B" w:rsidP="00AA5F87">
      <w:pPr>
        <w:rPr>
          <w:rFonts w:ascii="Arial" w:hAnsi="Arial" w:cs="Arial"/>
          <w:sz w:val="20"/>
          <w:szCs w:val="20"/>
          <w:lang/>
        </w:rPr>
      </w:pPr>
      <w:hyperlink r:id="rId32" w:anchor="Jackson_v_Attorney_General" w:history="1">
        <w:r w:rsidRPr="00AA5F87">
          <w:rPr>
            <w:rStyle w:val="tocnumber"/>
            <w:rFonts w:ascii="Arial" w:hAnsi="Arial" w:cs="Arial"/>
            <w:sz w:val="20"/>
            <w:szCs w:val="20"/>
            <w:lang/>
          </w:rPr>
          <w:t>4.4</w:t>
        </w:r>
        <w:r w:rsidRPr="00AA5F87">
          <w:rPr>
            <w:rStyle w:val="toctext"/>
            <w:rFonts w:ascii="Arial" w:hAnsi="Arial" w:cs="Arial"/>
            <w:i/>
            <w:iCs/>
            <w:sz w:val="20"/>
            <w:szCs w:val="20"/>
            <w:lang/>
          </w:rPr>
          <w:t>Jackson v Attorney General</w:t>
        </w:r>
      </w:hyperlink>
    </w:p>
    <w:p w:rsidR="0061370B" w:rsidRPr="00AA5F87" w:rsidRDefault="0061370B" w:rsidP="00AA5F87">
      <w:pPr>
        <w:rPr>
          <w:rFonts w:ascii="Arial" w:hAnsi="Arial" w:cs="Arial"/>
          <w:sz w:val="20"/>
          <w:szCs w:val="20"/>
          <w:lang/>
        </w:rPr>
      </w:pPr>
      <w:hyperlink r:id="rId33" w:anchor="See_also" w:history="1">
        <w:r w:rsidRPr="00AA5F87">
          <w:rPr>
            <w:rStyle w:val="tocnumber"/>
            <w:rFonts w:ascii="Arial" w:hAnsi="Arial" w:cs="Arial"/>
            <w:sz w:val="20"/>
            <w:szCs w:val="20"/>
            <w:lang/>
          </w:rPr>
          <w:t>5</w:t>
        </w:r>
        <w:r w:rsidRPr="00AA5F87">
          <w:rPr>
            <w:rStyle w:val="toctext"/>
            <w:rFonts w:ascii="Arial" w:hAnsi="Arial" w:cs="Arial"/>
            <w:sz w:val="20"/>
            <w:szCs w:val="20"/>
            <w:lang/>
          </w:rPr>
          <w:t>See also</w:t>
        </w:r>
      </w:hyperlink>
    </w:p>
    <w:p w:rsidR="0061370B" w:rsidRPr="00AA5F87" w:rsidRDefault="0061370B" w:rsidP="00AA5F87">
      <w:pPr>
        <w:rPr>
          <w:rFonts w:ascii="Arial" w:hAnsi="Arial" w:cs="Arial"/>
          <w:sz w:val="20"/>
          <w:szCs w:val="20"/>
          <w:lang/>
        </w:rPr>
      </w:pPr>
      <w:hyperlink r:id="rId34" w:anchor="References" w:history="1">
        <w:r w:rsidRPr="00AA5F87">
          <w:rPr>
            <w:rStyle w:val="tocnumber"/>
            <w:rFonts w:ascii="Arial" w:hAnsi="Arial" w:cs="Arial"/>
            <w:sz w:val="20"/>
            <w:szCs w:val="20"/>
            <w:lang/>
          </w:rPr>
          <w:t>6</w:t>
        </w:r>
        <w:r w:rsidRPr="00AA5F87">
          <w:rPr>
            <w:rStyle w:val="toctext"/>
            <w:rFonts w:ascii="Arial" w:hAnsi="Arial" w:cs="Arial"/>
            <w:sz w:val="20"/>
            <w:szCs w:val="20"/>
            <w:lang/>
          </w:rPr>
          <w:t>References</w:t>
        </w:r>
      </w:hyperlink>
    </w:p>
    <w:p w:rsidR="0061370B" w:rsidRPr="00AA5F87" w:rsidRDefault="0061370B" w:rsidP="00AA5F87">
      <w:pPr>
        <w:rPr>
          <w:rFonts w:ascii="Arial" w:hAnsi="Arial" w:cs="Arial"/>
          <w:sz w:val="20"/>
          <w:szCs w:val="20"/>
          <w:lang/>
        </w:rPr>
      </w:pPr>
      <w:hyperlink r:id="rId35" w:anchor="Citations" w:history="1">
        <w:r w:rsidRPr="00AA5F87">
          <w:rPr>
            <w:rStyle w:val="tocnumber"/>
            <w:rFonts w:ascii="Arial" w:hAnsi="Arial" w:cs="Arial"/>
            <w:sz w:val="20"/>
            <w:szCs w:val="20"/>
            <w:lang/>
          </w:rPr>
          <w:t>6.1</w:t>
        </w:r>
        <w:r w:rsidRPr="00AA5F87">
          <w:rPr>
            <w:rStyle w:val="toctext"/>
            <w:rFonts w:ascii="Arial" w:hAnsi="Arial" w:cs="Arial"/>
            <w:sz w:val="20"/>
            <w:szCs w:val="20"/>
            <w:lang/>
          </w:rPr>
          <w:t>Citations</w:t>
        </w:r>
      </w:hyperlink>
    </w:p>
    <w:p w:rsidR="0061370B" w:rsidRPr="00AA5F87" w:rsidRDefault="0061370B" w:rsidP="00AA5F87">
      <w:pPr>
        <w:rPr>
          <w:rFonts w:ascii="Arial" w:hAnsi="Arial" w:cs="Arial"/>
          <w:sz w:val="20"/>
          <w:szCs w:val="20"/>
          <w:lang/>
        </w:rPr>
      </w:pPr>
      <w:hyperlink r:id="rId36" w:anchor="Bibliography" w:history="1">
        <w:r w:rsidRPr="00AA5F87">
          <w:rPr>
            <w:rStyle w:val="tocnumber"/>
            <w:rFonts w:ascii="Arial" w:hAnsi="Arial" w:cs="Arial"/>
            <w:sz w:val="20"/>
            <w:szCs w:val="20"/>
            <w:lang/>
          </w:rPr>
          <w:t>6.2</w:t>
        </w:r>
        <w:r w:rsidRPr="00AA5F87">
          <w:rPr>
            <w:rStyle w:val="toctext"/>
            <w:rFonts w:ascii="Arial" w:hAnsi="Arial" w:cs="Arial"/>
            <w:sz w:val="20"/>
            <w:szCs w:val="20"/>
            <w:lang/>
          </w:rPr>
          <w:t>Bibliography</w:t>
        </w:r>
      </w:hyperlink>
    </w:p>
    <w:p w:rsidR="0061370B" w:rsidRPr="00AA5F87" w:rsidRDefault="0061370B" w:rsidP="00AA5F87">
      <w:pPr>
        <w:rPr>
          <w:rFonts w:cs="Arial"/>
          <w:sz w:val="36"/>
          <w:szCs w:val="36"/>
          <w:lang/>
        </w:rPr>
      </w:pPr>
      <w:r w:rsidRPr="00AA5F87">
        <w:rPr>
          <w:rStyle w:val="mw-headline"/>
          <w:rFonts w:ascii="Georgia" w:hAnsi="Georgia" w:cs="Arial"/>
          <w:b/>
          <w:bCs/>
          <w:lang/>
        </w:rPr>
        <w:t>History</w:t>
      </w:r>
    </w:p>
    <w:p w:rsidR="0061370B" w:rsidRPr="00AA5F87" w:rsidRDefault="0061370B" w:rsidP="00AA5F87">
      <w:pPr>
        <w:rPr>
          <w:rFonts w:ascii="Arial" w:hAnsi="Arial" w:cs="Arial"/>
          <w:lang/>
        </w:rPr>
      </w:pPr>
      <w:r w:rsidRPr="00AA5F87">
        <w:rPr>
          <w:rFonts w:ascii="Arial" w:hAnsi="Arial" w:cs="Arial"/>
          <w:lang/>
        </w:rPr>
        <w:t>The </w:t>
      </w:r>
      <w:hyperlink r:id="rId37" w:tooltip="Statute of Proclamations" w:history="1">
        <w:r w:rsidRPr="00AA5F87">
          <w:rPr>
            <w:rStyle w:val="Hyperlink"/>
            <w:rFonts w:ascii="Arial" w:hAnsi="Arial" w:cs="Arial"/>
            <w:color w:val="auto"/>
            <w:lang/>
          </w:rPr>
          <w:t>Statute of Proclamations</w:t>
        </w:r>
      </w:hyperlink>
      <w:r w:rsidRPr="00AA5F87">
        <w:rPr>
          <w:rFonts w:ascii="Arial" w:hAnsi="Arial" w:cs="Arial"/>
          <w:lang/>
        </w:rPr>
        <w:t xml:space="preserve"> of 1539 gave the King wide powers to legislate without reference to, or approval from, Parliament. At the same, it </w:t>
      </w:r>
      <w:proofErr w:type="spellStart"/>
      <w:r w:rsidRPr="00AA5F87">
        <w:rPr>
          <w:rFonts w:ascii="Arial" w:hAnsi="Arial" w:cs="Arial"/>
          <w:lang/>
        </w:rPr>
        <w:t>recognised</w:t>
      </w:r>
      <w:proofErr w:type="spellEnd"/>
      <w:r w:rsidRPr="00AA5F87">
        <w:rPr>
          <w:rFonts w:ascii="Arial" w:hAnsi="Arial" w:cs="Arial"/>
          <w:lang/>
        </w:rPr>
        <w:t xml:space="preserve"> the </w:t>
      </w:r>
      <w:hyperlink r:id="rId38" w:tooltip="Common law" w:history="1">
        <w:r w:rsidRPr="00AA5F87">
          <w:rPr>
            <w:rStyle w:val="Hyperlink"/>
            <w:rFonts w:ascii="Arial" w:hAnsi="Arial" w:cs="Arial"/>
            <w:color w:val="auto"/>
            <w:lang/>
          </w:rPr>
          <w:t>common law</w:t>
        </w:r>
      </w:hyperlink>
      <w:r w:rsidRPr="00AA5F87">
        <w:rPr>
          <w:rFonts w:ascii="Arial" w:hAnsi="Arial" w:cs="Arial"/>
          <w:lang/>
        </w:rPr>
        <w:t>, existing statutory provisions, and excluded the breach of royal proclamations from the </w:t>
      </w:r>
      <w:hyperlink r:id="rId39" w:tooltip="Death penalty" w:history="1">
        <w:r w:rsidRPr="00AA5F87">
          <w:rPr>
            <w:rStyle w:val="Hyperlink"/>
            <w:rFonts w:ascii="Arial" w:hAnsi="Arial" w:cs="Arial"/>
            <w:color w:val="auto"/>
            <w:lang/>
          </w:rPr>
          <w:t>death penalty</w:t>
        </w:r>
      </w:hyperlink>
      <w:r w:rsidRPr="00AA5F87">
        <w:rPr>
          <w:rFonts w:ascii="Arial" w:hAnsi="Arial" w:cs="Arial"/>
          <w:lang/>
        </w:rPr>
        <w:t>. It was repealed in 1547, but </w:t>
      </w:r>
      <w:hyperlink r:id="rId40" w:tooltip="Mary I of England" w:history="1">
        <w:r w:rsidRPr="00AA5F87">
          <w:rPr>
            <w:rStyle w:val="Hyperlink"/>
            <w:rFonts w:ascii="Arial" w:hAnsi="Arial" w:cs="Arial"/>
            <w:color w:val="auto"/>
            <w:lang/>
          </w:rPr>
          <w:t>Queen Mary</w:t>
        </w:r>
      </w:hyperlink>
      <w:r w:rsidRPr="00AA5F87">
        <w:rPr>
          <w:rFonts w:ascii="Arial" w:hAnsi="Arial" w:cs="Arial"/>
          <w:lang/>
        </w:rPr>
        <w:t> and </w:t>
      </w:r>
      <w:hyperlink r:id="rId41" w:tooltip="Elizabeth I of England" w:history="1">
        <w:r w:rsidRPr="00AA5F87">
          <w:rPr>
            <w:rStyle w:val="Hyperlink"/>
            <w:rFonts w:ascii="Arial" w:hAnsi="Arial" w:cs="Arial"/>
            <w:color w:val="auto"/>
            <w:lang/>
          </w:rPr>
          <w:t>Queen Elizabeth</w:t>
        </w:r>
      </w:hyperlink>
      <w:r w:rsidRPr="00AA5F87">
        <w:rPr>
          <w:rFonts w:ascii="Arial" w:hAnsi="Arial" w:cs="Arial"/>
          <w:lang/>
        </w:rPr>
        <w:t> both relied on royal proclamations. A review by </w:t>
      </w:r>
      <w:hyperlink r:id="rId42" w:tooltip="Chief Justice" w:history="1">
        <w:r w:rsidRPr="00AA5F87">
          <w:rPr>
            <w:rStyle w:val="Hyperlink"/>
            <w:rFonts w:ascii="Arial" w:hAnsi="Arial" w:cs="Arial"/>
            <w:color w:val="auto"/>
            <w:lang/>
          </w:rPr>
          <w:t>Chief Justice</w:t>
        </w:r>
      </w:hyperlink>
      <w:r w:rsidRPr="00AA5F87">
        <w:rPr>
          <w:rFonts w:ascii="Arial" w:hAnsi="Arial" w:cs="Arial"/>
          <w:lang/>
        </w:rPr>
        <w:t> </w:t>
      </w:r>
      <w:hyperlink r:id="rId43" w:tooltip="Edward Coke" w:history="1">
        <w:r w:rsidRPr="00AA5F87">
          <w:rPr>
            <w:rStyle w:val="Hyperlink"/>
            <w:rFonts w:ascii="Arial" w:hAnsi="Arial" w:cs="Arial"/>
            <w:color w:val="auto"/>
            <w:lang/>
          </w:rPr>
          <w:t>Edward Coke</w:t>
        </w:r>
      </w:hyperlink>
      <w:r w:rsidRPr="00AA5F87">
        <w:rPr>
          <w:rFonts w:ascii="Arial" w:hAnsi="Arial" w:cs="Arial"/>
          <w:lang/>
        </w:rPr>
        <w:t> in 1610, the </w:t>
      </w:r>
      <w:hyperlink r:id="rId44" w:tooltip="Case of Proclamations" w:history="1">
        <w:r w:rsidRPr="00AA5F87">
          <w:rPr>
            <w:rStyle w:val="Hyperlink"/>
            <w:rFonts w:ascii="Arial" w:hAnsi="Arial" w:cs="Arial"/>
            <w:i/>
            <w:iCs/>
            <w:color w:val="auto"/>
            <w:lang/>
          </w:rPr>
          <w:t>Case of Proclamations</w:t>
        </w:r>
      </w:hyperlink>
      <w:r w:rsidRPr="00AA5F87">
        <w:rPr>
          <w:rFonts w:ascii="Arial" w:hAnsi="Arial" w:cs="Arial"/>
          <w:lang/>
        </w:rPr>
        <w:t>, established that Parliament had the sole right to legislate, but the Crown could enforce it. The concept of parliamentary sovereignty was central to the </w:t>
      </w:r>
      <w:hyperlink r:id="rId45" w:tooltip="English Civil War" w:history="1">
        <w:r w:rsidRPr="00AA5F87">
          <w:rPr>
            <w:rStyle w:val="Hyperlink"/>
            <w:rFonts w:ascii="Arial" w:hAnsi="Arial" w:cs="Arial"/>
            <w:color w:val="auto"/>
            <w:lang/>
          </w:rPr>
          <w:t>English Civil War</w:t>
        </w:r>
      </w:hyperlink>
      <w:r w:rsidRPr="00AA5F87">
        <w:rPr>
          <w:rFonts w:ascii="Arial" w:hAnsi="Arial" w:cs="Arial"/>
          <w:lang/>
        </w:rPr>
        <w:t>: Royalists argued that power held by the King, and delegated to Parliament, challenged by the Parliamentarians. The issue of </w:t>
      </w:r>
      <w:hyperlink r:id="rId46" w:tooltip="Taxation" w:history="1">
        <w:r w:rsidRPr="00AA5F87">
          <w:rPr>
            <w:rStyle w:val="Hyperlink"/>
            <w:rFonts w:ascii="Arial" w:hAnsi="Arial" w:cs="Arial"/>
            <w:color w:val="auto"/>
            <w:lang/>
          </w:rPr>
          <w:t>taxation</w:t>
        </w:r>
      </w:hyperlink>
      <w:r w:rsidRPr="00AA5F87">
        <w:rPr>
          <w:rFonts w:ascii="Arial" w:hAnsi="Arial" w:cs="Arial"/>
          <w:lang/>
        </w:rPr>
        <w:t> was a significant power struggle between Parliament and the King during the </w:t>
      </w:r>
      <w:hyperlink r:id="rId47" w:tooltip="Stuart period" w:history="1">
        <w:r w:rsidRPr="00AA5F87">
          <w:rPr>
            <w:rStyle w:val="Hyperlink"/>
            <w:rFonts w:ascii="Arial" w:hAnsi="Arial" w:cs="Arial"/>
            <w:color w:val="auto"/>
            <w:lang/>
          </w:rPr>
          <w:t>Stuart period</w:t>
        </w:r>
      </w:hyperlink>
      <w:r w:rsidRPr="00AA5F87">
        <w:rPr>
          <w:rFonts w:ascii="Arial" w:hAnsi="Arial" w:cs="Arial"/>
          <w:lang/>
        </w:rPr>
        <w:t>. If Parliament had the ability to withhold funds from the monarch, then it could prevail. </w:t>
      </w:r>
      <w:hyperlink r:id="rId48" w:tooltip="Direct taxation" w:history="1">
        <w:r w:rsidRPr="00AA5F87">
          <w:rPr>
            <w:rStyle w:val="Hyperlink"/>
            <w:rFonts w:ascii="Arial" w:hAnsi="Arial" w:cs="Arial"/>
            <w:color w:val="auto"/>
            <w:lang/>
          </w:rPr>
          <w:t>Direct taxation</w:t>
        </w:r>
      </w:hyperlink>
      <w:r w:rsidRPr="00AA5F87">
        <w:rPr>
          <w:rFonts w:ascii="Arial" w:hAnsi="Arial" w:cs="Arial"/>
          <w:lang/>
        </w:rPr>
        <w:t> had been a matter for Parliament from the reign of </w:t>
      </w:r>
      <w:hyperlink r:id="rId49" w:tooltip="Edward I" w:history="1">
        <w:r w:rsidRPr="00AA5F87">
          <w:rPr>
            <w:rStyle w:val="Hyperlink"/>
            <w:rFonts w:ascii="Arial" w:hAnsi="Arial" w:cs="Arial"/>
            <w:color w:val="auto"/>
            <w:lang/>
          </w:rPr>
          <w:t>Edward I</w:t>
        </w:r>
      </w:hyperlink>
      <w:r w:rsidRPr="00AA5F87">
        <w:rPr>
          <w:rFonts w:ascii="Arial" w:hAnsi="Arial" w:cs="Arial"/>
          <w:lang/>
        </w:rPr>
        <w:t>, but </w:t>
      </w:r>
      <w:hyperlink r:id="rId50" w:tooltip="Indirect taxation" w:history="1">
        <w:r w:rsidRPr="00AA5F87">
          <w:rPr>
            <w:rStyle w:val="Hyperlink"/>
            <w:rFonts w:ascii="Arial" w:hAnsi="Arial" w:cs="Arial"/>
            <w:color w:val="auto"/>
            <w:lang/>
          </w:rPr>
          <w:t>indirect taxation</w:t>
        </w:r>
      </w:hyperlink>
      <w:r w:rsidRPr="00AA5F87">
        <w:rPr>
          <w:rFonts w:ascii="Arial" w:hAnsi="Arial" w:cs="Arial"/>
          <w:lang/>
        </w:rPr>
        <w:t> continued to be a matter for the King.</w:t>
      </w:r>
    </w:p>
    <w:p w:rsidR="0061370B" w:rsidRPr="00AA5F87" w:rsidRDefault="0061370B" w:rsidP="00AA5F87">
      <w:pPr>
        <w:rPr>
          <w:rFonts w:ascii="Arial" w:hAnsi="Arial" w:cs="Arial"/>
          <w:lang/>
        </w:rPr>
      </w:pPr>
      <w:r w:rsidRPr="00AA5F87">
        <w:rPr>
          <w:rFonts w:ascii="Arial" w:hAnsi="Arial" w:cs="Arial"/>
          <w:lang/>
        </w:rPr>
        <w:t>Royal powers were finally removed by the </w:t>
      </w:r>
      <w:hyperlink r:id="rId51" w:tooltip="Bill of Rights 1689" w:history="1">
        <w:r w:rsidRPr="00AA5F87">
          <w:rPr>
            <w:rStyle w:val="Hyperlink"/>
            <w:rFonts w:ascii="Arial" w:hAnsi="Arial" w:cs="Arial"/>
            <w:color w:val="auto"/>
            <w:lang/>
          </w:rPr>
          <w:t>Bill of Rights 1689</w:t>
        </w:r>
      </w:hyperlink>
      <w:r w:rsidRPr="00AA5F87">
        <w:rPr>
          <w:rFonts w:ascii="Arial" w:hAnsi="Arial" w:cs="Arial"/>
          <w:lang/>
        </w:rPr>
        <w:t>. The Bill of Rights also removed the ability of the Crown to dispense with (ignore) legislation and statutes. Such a right had culminated in the </w:t>
      </w:r>
      <w:hyperlink r:id="rId52" w:tooltip="Declaration of Indulgence" w:history="1">
        <w:r w:rsidRPr="00AA5F87">
          <w:rPr>
            <w:rStyle w:val="Hyperlink"/>
            <w:rFonts w:ascii="Arial" w:hAnsi="Arial" w:cs="Arial"/>
            <w:color w:val="auto"/>
            <w:lang/>
          </w:rPr>
          <w:t>Declaration of Indulgence</w:t>
        </w:r>
      </w:hyperlink>
      <w:r w:rsidRPr="00AA5F87">
        <w:rPr>
          <w:rFonts w:ascii="Arial" w:hAnsi="Arial" w:cs="Arial"/>
          <w:lang/>
        </w:rPr>
        <w:t> of 1687, which had ushered in the </w:t>
      </w:r>
      <w:hyperlink r:id="rId53" w:tooltip="Glorious Revolution" w:history="1">
        <w:r w:rsidRPr="00AA5F87">
          <w:rPr>
            <w:rStyle w:val="Hyperlink"/>
            <w:rFonts w:ascii="Arial" w:hAnsi="Arial" w:cs="Arial"/>
            <w:color w:val="auto"/>
            <w:lang/>
          </w:rPr>
          <w:t>Glorious Revolution</w:t>
        </w:r>
      </w:hyperlink>
      <w:r w:rsidRPr="00AA5F87">
        <w:rPr>
          <w:rFonts w:ascii="Arial" w:hAnsi="Arial" w:cs="Arial"/>
          <w:lang/>
        </w:rPr>
        <w:t>. That led the </w:t>
      </w:r>
      <w:hyperlink r:id="rId54" w:tooltip="Anthony Ashley-Cooper, 2nd Earl of Shaftesbury" w:history="1">
        <w:r w:rsidRPr="00AA5F87">
          <w:rPr>
            <w:rStyle w:val="Hyperlink"/>
            <w:rFonts w:ascii="Arial" w:hAnsi="Arial" w:cs="Arial"/>
            <w:color w:val="auto"/>
            <w:lang/>
          </w:rPr>
          <w:t>Earl of Shaftesbury</w:t>
        </w:r>
      </w:hyperlink>
      <w:r w:rsidRPr="00AA5F87">
        <w:rPr>
          <w:rFonts w:ascii="Arial" w:hAnsi="Arial" w:cs="Arial"/>
          <w:lang/>
        </w:rPr>
        <w:t> to declare in 1689, "The Parliament of England is that supreme and absolute power, which gives life and motion to the English government". The </w:t>
      </w:r>
      <w:hyperlink r:id="rId55" w:tooltip="Act of Settlement 1701" w:history="1">
        <w:r w:rsidRPr="00AA5F87">
          <w:rPr>
            <w:rStyle w:val="Hyperlink"/>
            <w:rFonts w:ascii="Arial" w:hAnsi="Arial" w:cs="Arial"/>
            <w:color w:val="auto"/>
            <w:lang/>
          </w:rPr>
          <w:t>Act of Settlement</w:t>
        </w:r>
      </w:hyperlink>
      <w:r w:rsidRPr="00AA5F87">
        <w:rPr>
          <w:rFonts w:ascii="Arial" w:hAnsi="Arial" w:cs="Arial"/>
          <w:lang/>
        </w:rPr>
        <w:t> of 1700 removed royal power over the judiciary and defined a vote of both houses as the sole method of removing a judge.</w:t>
      </w:r>
    </w:p>
    <w:p w:rsidR="0061370B" w:rsidRPr="00AA5F87" w:rsidRDefault="0061370B" w:rsidP="00AA5F87">
      <w:pPr>
        <w:rPr>
          <w:rFonts w:cs="Arial"/>
          <w:lang/>
        </w:rPr>
      </w:pPr>
      <w:r w:rsidRPr="00AA5F87">
        <w:rPr>
          <w:rStyle w:val="mw-headline"/>
          <w:rFonts w:ascii="Georgia" w:hAnsi="Georgia" w:cs="Arial"/>
          <w:b/>
          <w:bCs/>
          <w:lang/>
        </w:rPr>
        <w:t>Core theory</w:t>
      </w:r>
    </w:p>
    <w:p w:rsidR="0061370B" w:rsidRPr="00AA5F87" w:rsidRDefault="0061370B" w:rsidP="00AA5F87">
      <w:pPr>
        <w:rPr>
          <w:rFonts w:ascii="Arial" w:hAnsi="Arial" w:cs="Arial"/>
          <w:lang/>
        </w:rPr>
      </w:pPr>
      <w:r w:rsidRPr="00AA5F87">
        <w:rPr>
          <w:rFonts w:ascii="Arial" w:hAnsi="Arial" w:cs="Arial"/>
          <w:lang/>
        </w:rPr>
        <w:t>It was the view of </w:t>
      </w:r>
      <w:hyperlink r:id="rId56" w:tooltip="A. V. Dicey" w:history="1">
        <w:r w:rsidRPr="00AA5F87">
          <w:rPr>
            <w:rStyle w:val="Hyperlink"/>
            <w:rFonts w:ascii="Arial" w:hAnsi="Arial" w:cs="Arial"/>
            <w:color w:val="auto"/>
            <w:lang/>
          </w:rPr>
          <w:t>A. V. Dicey</w:t>
        </w:r>
      </w:hyperlink>
      <w:r w:rsidRPr="00AA5F87">
        <w:rPr>
          <w:rFonts w:ascii="Arial" w:hAnsi="Arial" w:cs="Arial"/>
          <w:lang/>
        </w:rPr>
        <w:t xml:space="preserve">, writing in the early twentieth century, that Parliament had "the right to make or unmake any law whatever; and, further, that no person or body is </w:t>
      </w:r>
      <w:proofErr w:type="spellStart"/>
      <w:r w:rsidRPr="00AA5F87">
        <w:rPr>
          <w:rFonts w:ascii="Arial" w:hAnsi="Arial" w:cs="Arial"/>
          <w:lang/>
        </w:rPr>
        <w:t>recognised</w:t>
      </w:r>
      <w:proofErr w:type="spellEnd"/>
      <w:r w:rsidRPr="00AA5F87">
        <w:rPr>
          <w:rFonts w:ascii="Arial" w:hAnsi="Arial" w:cs="Arial"/>
          <w:lang/>
        </w:rPr>
        <w:t xml:space="preserve"> by the law of England as having a right to override or set aside the legislation of Parliament". He refers to "England" but his view held for the other nations of the United Kingdom, with slightly </w:t>
      </w:r>
      <w:r w:rsidRPr="00AA5F87">
        <w:rPr>
          <w:rFonts w:ascii="Arial" w:hAnsi="Arial" w:cs="Arial"/>
          <w:lang/>
        </w:rPr>
        <w:lastRenderedPageBreak/>
        <w:t>different details. This view however side-steps the issue of the limitations formally placed on Parliament when the United Kingdom was first established in 1706/7 and the English and Scottish Parliaments surrendered, or perhaps more correctly pooled, their sovereignty into the new state.</w:t>
      </w:r>
    </w:p>
    <w:p w:rsidR="0061370B" w:rsidRPr="00AA5F87" w:rsidRDefault="0061370B" w:rsidP="00AA5F87">
      <w:pPr>
        <w:rPr>
          <w:rFonts w:ascii="Arial" w:hAnsi="Arial" w:cs="Arial"/>
          <w:lang/>
        </w:rPr>
      </w:pPr>
      <w:r w:rsidRPr="00AA5F87">
        <w:rPr>
          <w:rFonts w:ascii="Arial" w:hAnsi="Arial" w:cs="Arial"/>
          <w:lang/>
        </w:rPr>
        <w:t>There are at least three suggested sources for this sovereignty. The first is sovereignty by </w:t>
      </w:r>
      <w:hyperlink r:id="rId57" w:tooltip="Act of Parliament (UK)" w:history="1">
        <w:r w:rsidRPr="00AA5F87">
          <w:rPr>
            <w:rStyle w:val="Hyperlink"/>
            <w:rFonts w:ascii="Arial" w:hAnsi="Arial" w:cs="Arial"/>
            <w:color w:val="auto"/>
            <w:lang/>
          </w:rPr>
          <w:t>Act of Parliament</w:t>
        </w:r>
      </w:hyperlink>
      <w:r w:rsidRPr="00AA5F87">
        <w:rPr>
          <w:rFonts w:ascii="Arial" w:hAnsi="Arial" w:cs="Arial"/>
          <w:lang/>
        </w:rPr>
        <w:t> itself. One response, put forward by </w:t>
      </w:r>
      <w:hyperlink r:id="rId58" w:tooltip="John Salmond (judge)" w:history="1">
        <w:r w:rsidRPr="00AA5F87">
          <w:rPr>
            <w:rStyle w:val="Hyperlink"/>
            <w:rFonts w:ascii="Arial" w:hAnsi="Arial" w:cs="Arial"/>
            <w:color w:val="auto"/>
            <w:lang/>
          </w:rPr>
          <w:t xml:space="preserve">John </w:t>
        </w:r>
        <w:proofErr w:type="spellStart"/>
        <w:r w:rsidRPr="00AA5F87">
          <w:rPr>
            <w:rStyle w:val="Hyperlink"/>
            <w:rFonts w:ascii="Arial" w:hAnsi="Arial" w:cs="Arial"/>
            <w:color w:val="auto"/>
            <w:lang/>
          </w:rPr>
          <w:t>Salmond</w:t>
        </w:r>
        <w:proofErr w:type="spellEnd"/>
      </w:hyperlink>
      <w:r w:rsidRPr="00AA5F87">
        <w:rPr>
          <w:rFonts w:ascii="Arial" w:hAnsi="Arial" w:cs="Arial"/>
          <w:lang/>
        </w:rPr>
        <w:t xml:space="preserve"> was to reject this idea: he believed that "no statute can confer this power on Parliament for this would be to assume and act on the very power that is to be conferred". An alternative is to see sovereignty conferred by way of the repeated and unchallenged use of sovereignty through the promulgation of laws by Parliament. The second possible </w:t>
      </w:r>
      <w:proofErr w:type="gramStart"/>
      <w:r w:rsidRPr="00AA5F87">
        <w:rPr>
          <w:rFonts w:ascii="Arial" w:hAnsi="Arial" w:cs="Arial"/>
          <w:lang/>
        </w:rPr>
        <w:t>source are</w:t>
      </w:r>
      <w:proofErr w:type="gramEnd"/>
      <w:r w:rsidRPr="00AA5F87">
        <w:rPr>
          <w:rFonts w:ascii="Arial" w:hAnsi="Arial" w:cs="Arial"/>
          <w:lang/>
        </w:rPr>
        <w:t xml:space="preserve"> the courts, that in enforcing all Acts of Parliament without exception, they have conferred sovereignty upon Parliament. The third alternative is the complex relationship between all parts of government, and their historical development. This is then assumed to be continuous and the basis for the future. However, if sovereignty was built up over time, "freezing" it at the current time seems to run contrary to that.</w:t>
      </w:r>
    </w:p>
    <w:p w:rsidR="0061370B" w:rsidRPr="00AA5F87" w:rsidRDefault="0061370B" w:rsidP="00AA5F87">
      <w:pPr>
        <w:rPr>
          <w:rFonts w:ascii="Arial" w:hAnsi="Arial" w:cs="Arial"/>
          <w:lang/>
        </w:rPr>
      </w:pPr>
      <w:r w:rsidRPr="00AA5F87">
        <w:rPr>
          <w:rFonts w:ascii="Arial" w:hAnsi="Arial" w:cs="Arial"/>
          <w:lang/>
        </w:rPr>
        <w:t>A group of individuals cannot hold sovereignty, only the institution of Parliament; determining what does and does not constitute an Act of Parliament is important. This is considered a "manner and form" requirement. In the absence of a written constitution, it is a matter for the common law to make this determination.</w:t>
      </w:r>
      <w:r w:rsidRPr="00AA5F87">
        <w:rPr>
          <w:rFonts w:ascii="Arial" w:hAnsi="Arial" w:cs="Arial"/>
          <w:sz w:val="17"/>
          <w:szCs w:val="17"/>
          <w:vertAlign w:val="superscript"/>
          <w:lang/>
        </w:rPr>
        <w:t>]</w:t>
      </w:r>
      <w:r w:rsidRPr="00AA5F87">
        <w:rPr>
          <w:rFonts w:ascii="Arial" w:hAnsi="Arial" w:cs="Arial"/>
          <w:lang/>
        </w:rPr>
        <w:t> The court does not consider any procedural defects of the bill if they are present; this is called the "enrolled Act" doctrine. For example, the case of </w:t>
      </w:r>
      <w:proofErr w:type="spellStart"/>
      <w:r w:rsidRPr="00AA5F87">
        <w:rPr>
          <w:rFonts w:ascii="Arial" w:hAnsi="Arial" w:cs="Arial"/>
          <w:i/>
          <w:iCs/>
          <w:lang/>
        </w:rPr>
        <w:t>Pickin</w:t>
      </w:r>
      <w:proofErr w:type="spellEnd"/>
      <w:r w:rsidRPr="00AA5F87">
        <w:rPr>
          <w:rFonts w:ascii="Arial" w:hAnsi="Arial" w:cs="Arial"/>
          <w:i/>
          <w:iCs/>
          <w:lang/>
        </w:rPr>
        <w:t xml:space="preserve"> v British Railways Board</w:t>
      </w:r>
      <w:r w:rsidRPr="00AA5F87">
        <w:rPr>
          <w:rFonts w:ascii="Arial" w:hAnsi="Arial" w:cs="Arial"/>
          <w:lang/>
        </w:rPr>
        <w:t> was dismissed because it relied on the </w:t>
      </w:r>
      <w:hyperlink r:id="rId59" w:tooltip="Rules of order" w:history="1">
        <w:r w:rsidRPr="00AA5F87">
          <w:rPr>
            <w:rStyle w:val="Hyperlink"/>
            <w:rFonts w:ascii="Arial" w:hAnsi="Arial" w:cs="Arial"/>
            <w:color w:val="auto"/>
            <w:lang/>
          </w:rPr>
          <w:t>standing order</w:t>
        </w:r>
      </w:hyperlink>
      <w:r w:rsidRPr="00AA5F87">
        <w:rPr>
          <w:rFonts w:ascii="Arial" w:hAnsi="Arial" w:cs="Arial"/>
          <w:lang/>
        </w:rPr>
        <w:t> process not having been fulfilled.</w:t>
      </w:r>
    </w:p>
    <w:p w:rsidR="0061370B" w:rsidRPr="00AA5F87" w:rsidRDefault="0061370B" w:rsidP="00AA5F87">
      <w:pPr>
        <w:rPr>
          <w:rFonts w:ascii="Arial" w:hAnsi="Arial" w:cs="Arial"/>
          <w:lang/>
        </w:rPr>
      </w:pPr>
      <w:r w:rsidRPr="00AA5F87">
        <w:rPr>
          <w:rFonts w:ascii="Arial" w:hAnsi="Arial" w:cs="Arial"/>
          <w:lang/>
        </w:rPr>
        <w:t>However, the status of the </w:t>
      </w:r>
      <w:hyperlink r:id="rId60" w:tooltip="Regency Acts" w:history="1">
        <w:r w:rsidRPr="00AA5F87">
          <w:rPr>
            <w:rStyle w:val="Hyperlink"/>
            <w:rFonts w:ascii="Arial" w:hAnsi="Arial" w:cs="Arial"/>
            <w:color w:val="auto"/>
            <w:lang/>
          </w:rPr>
          <w:t>Regency Acts</w:t>
        </w:r>
      </w:hyperlink>
      <w:r w:rsidRPr="00AA5F87">
        <w:rPr>
          <w:rFonts w:ascii="Arial" w:hAnsi="Arial" w:cs="Arial"/>
          <w:lang/>
        </w:rPr>
        <w:t> is not so clear. In them, a regent acting during the infancy, incapacitation or absence of the monarch can assent to bills but cannot do so if they relate to changing the nature of monarchical inheritance or amending the </w:t>
      </w:r>
      <w:hyperlink r:id="rId61" w:tooltip="Protestant Religion and Presbyterian Church Act 1707" w:history="1">
        <w:r w:rsidRPr="00AA5F87">
          <w:rPr>
            <w:rStyle w:val="Hyperlink"/>
            <w:rFonts w:ascii="Arial" w:hAnsi="Arial" w:cs="Arial"/>
            <w:color w:val="auto"/>
            <w:lang/>
          </w:rPr>
          <w:t>Protestant Religion and Presbyterian Church Act 1707</w:t>
        </w:r>
      </w:hyperlink>
      <w:r w:rsidRPr="00AA5F87">
        <w:rPr>
          <w:rFonts w:ascii="Arial" w:hAnsi="Arial" w:cs="Arial"/>
          <w:lang/>
        </w:rPr>
        <w:t>, which protected that church in </w:t>
      </w:r>
      <w:hyperlink r:id="rId62" w:tooltip="Scotland" w:history="1">
        <w:r w:rsidRPr="00AA5F87">
          <w:rPr>
            <w:rStyle w:val="Hyperlink"/>
            <w:rFonts w:ascii="Arial" w:hAnsi="Arial" w:cs="Arial"/>
            <w:color w:val="auto"/>
            <w:lang/>
          </w:rPr>
          <w:t>Scotland</w:t>
        </w:r>
      </w:hyperlink>
      <w:r w:rsidRPr="00AA5F87">
        <w:rPr>
          <w:rFonts w:ascii="Arial" w:hAnsi="Arial" w:cs="Arial"/>
          <w:lang/>
        </w:rPr>
        <w:t>. If a regent did assent to a bill of these kinds, it may not be held to be a valid law even if it gained the approval of both houses and </w:t>
      </w:r>
      <w:hyperlink r:id="rId63" w:tooltip="Royal assent" w:history="1">
        <w:r w:rsidRPr="00AA5F87">
          <w:rPr>
            <w:rStyle w:val="Hyperlink"/>
            <w:rFonts w:ascii="Arial" w:hAnsi="Arial" w:cs="Arial"/>
            <w:color w:val="auto"/>
            <w:lang/>
          </w:rPr>
          <w:t>royal assent</w:t>
        </w:r>
      </w:hyperlink>
      <w:r w:rsidRPr="00AA5F87">
        <w:rPr>
          <w:rFonts w:ascii="Arial" w:hAnsi="Arial" w:cs="Arial"/>
          <w:lang/>
        </w:rPr>
        <w:t>.</w:t>
      </w:r>
    </w:p>
    <w:p w:rsidR="0061370B" w:rsidRPr="00AA5F87" w:rsidRDefault="0061370B" w:rsidP="00AA5F87">
      <w:pPr>
        <w:rPr>
          <w:rFonts w:ascii="Arial" w:hAnsi="Arial" w:cs="Arial"/>
          <w:lang/>
        </w:rPr>
      </w:pPr>
      <w:r w:rsidRPr="00AA5F87">
        <w:rPr>
          <w:rFonts w:ascii="Arial" w:hAnsi="Arial" w:cs="Arial"/>
          <w:lang/>
        </w:rPr>
        <w:t>Parliament may also bind successor parliaments as to their method of election and their constituent parts. For example, the </w:t>
      </w:r>
      <w:hyperlink r:id="rId64" w:tooltip="Reform Act 1832" w:history="1">
        <w:r w:rsidRPr="00AA5F87">
          <w:rPr>
            <w:rStyle w:val="Hyperlink"/>
            <w:rFonts w:ascii="Arial" w:hAnsi="Arial" w:cs="Arial"/>
            <w:color w:val="auto"/>
            <w:lang/>
          </w:rPr>
          <w:t>Reform Act 1832</w:t>
        </w:r>
      </w:hyperlink>
      <w:r w:rsidRPr="00AA5F87">
        <w:rPr>
          <w:rFonts w:ascii="Arial" w:hAnsi="Arial" w:cs="Arial"/>
          <w:lang/>
        </w:rPr>
        <w:t> radically altered the distribution of MPs and subsequent parliaments were bound to follow the new rules or secure the agreement of the new house to change them. Similarly, only a reconstituted House of Lords could pass a bill reversing the changes of the </w:t>
      </w:r>
      <w:hyperlink r:id="rId65" w:tooltip="House of Lords Act 1999" w:history="1">
        <w:r w:rsidRPr="00AA5F87">
          <w:rPr>
            <w:rStyle w:val="Hyperlink"/>
            <w:rFonts w:ascii="Arial" w:hAnsi="Arial" w:cs="Arial"/>
            <w:color w:val="auto"/>
            <w:lang/>
          </w:rPr>
          <w:t>House of Lords Act 1999</w:t>
        </w:r>
      </w:hyperlink>
      <w:r w:rsidRPr="00AA5F87">
        <w:rPr>
          <w:rFonts w:ascii="Arial" w:hAnsi="Arial" w:cs="Arial"/>
          <w:lang/>
        </w:rPr>
        <w:t> if its consent were required (unless the Parliament Acts were used). However, the whole system of government could be abolished, and the next parliament would not be bound if it were not considered a successor.</w:t>
      </w:r>
    </w:p>
    <w:p w:rsidR="0061370B" w:rsidRPr="00AA5F87" w:rsidRDefault="0061370B" w:rsidP="00AA5F87">
      <w:pPr>
        <w:rPr>
          <w:rFonts w:cs="Arial"/>
          <w:lang/>
        </w:rPr>
      </w:pPr>
      <w:r w:rsidRPr="00AA5F87">
        <w:rPr>
          <w:rStyle w:val="mw-headline"/>
          <w:rFonts w:ascii="Georgia" w:hAnsi="Georgia" w:cs="Arial"/>
          <w:b/>
          <w:bCs/>
          <w:lang/>
        </w:rPr>
        <w:t>Application to Scotland</w:t>
      </w:r>
    </w:p>
    <w:p w:rsidR="0061370B" w:rsidRPr="00AA5F87" w:rsidRDefault="0061370B" w:rsidP="00AA5F87">
      <w:pPr>
        <w:rPr>
          <w:rFonts w:ascii="Arial" w:hAnsi="Arial" w:cs="Arial"/>
          <w:i/>
          <w:iCs/>
          <w:lang/>
        </w:rPr>
      </w:pPr>
      <w:r w:rsidRPr="00AA5F87">
        <w:rPr>
          <w:rFonts w:ascii="Arial" w:hAnsi="Arial" w:cs="Arial"/>
          <w:i/>
          <w:iCs/>
          <w:lang/>
        </w:rPr>
        <w:t>See also: </w:t>
      </w:r>
      <w:hyperlink r:id="rId66" w:anchor="Bill" w:tooltip="House of Lords Act 1999" w:history="1">
        <w:r w:rsidRPr="00AA5F87">
          <w:rPr>
            <w:rStyle w:val="Hyperlink"/>
            <w:rFonts w:ascii="Arial" w:hAnsi="Arial" w:cs="Arial"/>
            <w:i/>
            <w:iCs/>
            <w:color w:val="auto"/>
            <w:lang/>
          </w:rPr>
          <w:t>House of Lords Act 1999 § Bill</w:t>
        </w:r>
      </w:hyperlink>
    </w:p>
    <w:p w:rsidR="0061370B" w:rsidRPr="00AA5F87" w:rsidRDefault="0061370B" w:rsidP="00AA5F87">
      <w:pPr>
        <w:rPr>
          <w:rFonts w:ascii="Arial" w:hAnsi="Arial" w:cs="Arial"/>
          <w:lang/>
        </w:rPr>
      </w:pPr>
      <w:r w:rsidRPr="00AA5F87">
        <w:rPr>
          <w:rFonts w:ascii="Arial" w:hAnsi="Arial" w:cs="Arial"/>
          <w:lang/>
        </w:rPr>
        <w:t>Some jurists have suggested that the </w:t>
      </w:r>
      <w:hyperlink r:id="rId67" w:tooltip="Acts of Union 1707" w:history="1">
        <w:r w:rsidRPr="00AA5F87">
          <w:rPr>
            <w:rStyle w:val="Hyperlink"/>
            <w:rFonts w:ascii="Arial" w:hAnsi="Arial" w:cs="Arial"/>
            <w:color w:val="auto"/>
            <w:lang/>
          </w:rPr>
          <w:t>Acts of Union 1707</w:t>
        </w:r>
      </w:hyperlink>
      <w:r w:rsidRPr="00AA5F87">
        <w:rPr>
          <w:rFonts w:ascii="Arial" w:hAnsi="Arial" w:cs="Arial"/>
          <w:lang/>
        </w:rPr>
        <w:t> place limits on parliamentary sovereignty and its application to Scotland. Although no Scottish court has yet openly questioned the validity of an </w:t>
      </w:r>
      <w:hyperlink r:id="rId68" w:tooltip="Act of Parliament" w:history="1">
        <w:r w:rsidRPr="00AA5F87">
          <w:rPr>
            <w:rStyle w:val="Hyperlink"/>
            <w:rFonts w:ascii="Arial" w:hAnsi="Arial" w:cs="Arial"/>
            <w:color w:val="auto"/>
            <w:lang/>
          </w:rPr>
          <w:t>Act of Parliament</w:t>
        </w:r>
      </w:hyperlink>
      <w:r w:rsidRPr="00AA5F87">
        <w:rPr>
          <w:rFonts w:ascii="Arial" w:hAnsi="Arial" w:cs="Arial"/>
          <w:lang/>
        </w:rPr>
        <w:t xml:space="preserve">, certain judges have raised the possibility. Thus, </w:t>
      </w:r>
      <w:r w:rsidRPr="00AA5F87">
        <w:rPr>
          <w:rFonts w:ascii="Arial" w:hAnsi="Arial" w:cs="Arial"/>
          <w:lang/>
        </w:rPr>
        <w:lastRenderedPageBreak/>
        <w:t>in </w:t>
      </w:r>
      <w:proofErr w:type="spellStart"/>
      <w:r w:rsidRPr="00AA5F87">
        <w:rPr>
          <w:rFonts w:ascii="Arial" w:hAnsi="Arial" w:cs="Arial"/>
          <w:i/>
          <w:iCs/>
          <w:lang/>
        </w:rPr>
        <w:fldChar w:fldCharType="begin"/>
      </w:r>
      <w:r w:rsidRPr="00AA5F87">
        <w:rPr>
          <w:rFonts w:ascii="Arial" w:hAnsi="Arial" w:cs="Arial"/>
          <w:i/>
          <w:iCs/>
          <w:lang/>
        </w:rPr>
        <w:instrText xml:space="preserve"> HYPERLINK "https://en.wikipedia.org/wiki/MacCormick_v._Lord_Advocate" \o "MacCormick v. Lord Advocate" </w:instrText>
      </w:r>
      <w:r w:rsidRPr="00AA5F87">
        <w:rPr>
          <w:rFonts w:ascii="Arial" w:hAnsi="Arial" w:cs="Arial"/>
          <w:i/>
          <w:iCs/>
          <w:lang/>
        </w:rPr>
        <w:fldChar w:fldCharType="separate"/>
      </w:r>
      <w:r w:rsidRPr="00AA5F87">
        <w:rPr>
          <w:rStyle w:val="Hyperlink"/>
          <w:rFonts w:ascii="Arial" w:hAnsi="Arial" w:cs="Arial"/>
          <w:i/>
          <w:iCs/>
          <w:color w:val="auto"/>
          <w:lang/>
        </w:rPr>
        <w:t>MacCormick</w:t>
      </w:r>
      <w:proofErr w:type="spellEnd"/>
      <w:r w:rsidRPr="00AA5F87">
        <w:rPr>
          <w:rStyle w:val="Hyperlink"/>
          <w:rFonts w:ascii="Arial" w:hAnsi="Arial" w:cs="Arial"/>
          <w:i/>
          <w:iCs/>
          <w:color w:val="auto"/>
          <w:lang/>
        </w:rPr>
        <w:t xml:space="preserve"> v. Lord Advocate</w:t>
      </w:r>
      <w:r w:rsidRPr="00AA5F87">
        <w:rPr>
          <w:rFonts w:ascii="Arial" w:hAnsi="Arial" w:cs="Arial"/>
          <w:i/>
          <w:iCs/>
          <w:lang/>
        </w:rPr>
        <w:fldChar w:fldCharType="end"/>
      </w:r>
      <w:r w:rsidRPr="00AA5F87">
        <w:rPr>
          <w:rFonts w:ascii="Arial" w:hAnsi="Arial" w:cs="Arial"/>
          <w:lang/>
        </w:rPr>
        <w:t>, the </w:t>
      </w:r>
      <w:hyperlink r:id="rId69" w:tooltip="Lord President of the Court of Session" w:history="1">
        <w:r w:rsidRPr="00AA5F87">
          <w:rPr>
            <w:rStyle w:val="Hyperlink"/>
            <w:rFonts w:ascii="Arial" w:hAnsi="Arial" w:cs="Arial"/>
            <w:color w:val="auto"/>
            <w:lang/>
          </w:rPr>
          <w:t>Lord President</w:t>
        </w:r>
      </w:hyperlink>
      <w:r w:rsidRPr="00AA5F87">
        <w:rPr>
          <w:rFonts w:ascii="Arial" w:hAnsi="Arial" w:cs="Arial"/>
          <w:lang/>
        </w:rPr>
        <w:t> (</w:t>
      </w:r>
      <w:hyperlink r:id="rId70" w:tooltip="Thomas Cooper, 1st Baron Cooper of Culross" w:history="1">
        <w:r w:rsidRPr="00AA5F87">
          <w:rPr>
            <w:rStyle w:val="Hyperlink"/>
            <w:rFonts w:ascii="Arial" w:hAnsi="Arial" w:cs="Arial"/>
            <w:color w:val="auto"/>
            <w:lang/>
          </w:rPr>
          <w:t>Lord Cooper</w:t>
        </w:r>
      </w:hyperlink>
      <w:r w:rsidRPr="00AA5F87">
        <w:rPr>
          <w:rFonts w:ascii="Arial" w:hAnsi="Arial" w:cs="Arial"/>
          <w:lang/>
        </w:rPr>
        <w:t>) stated that "the principle of the unlimited sovereignty of Parliament is a distinctively English principle which has no counterpart in Scottish Constitutional Law", and that legislation contrary to the Act of Union would not necessarily be regarded as constitutionally valid. Also, in </w:t>
      </w:r>
      <w:r w:rsidRPr="00AA5F87">
        <w:rPr>
          <w:rFonts w:ascii="Arial" w:hAnsi="Arial" w:cs="Arial"/>
          <w:i/>
          <w:iCs/>
          <w:lang/>
        </w:rPr>
        <w:t>Gibson v Lord Advocate</w:t>
      </w:r>
      <w:r w:rsidRPr="00AA5F87">
        <w:rPr>
          <w:rFonts w:ascii="Arial" w:hAnsi="Arial" w:cs="Arial"/>
          <w:lang/>
        </w:rPr>
        <w:t>, </w:t>
      </w:r>
      <w:hyperlink r:id="rId71" w:tooltip="Henry Keith, Baron Keith of Kinkel" w:history="1">
        <w:r w:rsidRPr="00AA5F87">
          <w:rPr>
            <w:rStyle w:val="Hyperlink"/>
            <w:rFonts w:ascii="Arial" w:hAnsi="Arial" w:cs="Arial"/>
            <w:color w:val="auto"/>
            <w:lang/>
          </w:rPr>
          <w:t>Lord Keith</w:t>
        </w:r>
      </w:hyperlink>
      <w:r w:rsidRPr="00AA5F87">
        <w:rPr>
          <w:rFonts w:ascii="Arial" w:hAnsi="Arial" w:cs="Arial"/>
          <w:lang/>
        </w:rPr>
        <w:t> was circumspect about how Scottish courts would deal with an Act, which would substantially alter or negate the essential provisions of the 1707 Act, such as the abolition of the </w:t>
      </w:r>
      <w:hyperlink r:id="rId72" w:tooltip="Court of Session" w:history="1">
        <w:r w:rsidRPr="00AA5F87">
          <w:rPr>
            <w:rStyle w:val="Hyperlink"/>
            <w:rFonts w:ascii="Arial" w:hAnsi="Arial" w:cs="Arial"/>
            <w:color w:val="auto"/>
            <w:lang/>
          </w:rPr>
          <w:t>Court of Session</w:t>
        </w:r>
      </w:hyperlink>
      <w:r w:rsidRPr="00AA5F87">
        <w:rPr>
          <w:rFonts w:ascii="Arial" w:hAnsi="Arial" w:cs="Arial"/>
          <w:lang/>
        </w:rPr>
        <w:t> or the </w:t>
      </w:r>
      <w:hyperlink r:id="rId73" w:tooltip="Church of Scotland" w:history="1">
        <w:r w:rsidRPr="00AA5F87">
          <w:rPr>
            <w:rStyle w:val="Hyperlink"/>
            <w:rFonts w:ascii="Arial" w:hAnsi="Arial" w:cs="Arial"/>
            <w:color w:val="auto"/>
            <w:lang/>
          </w:rPr>
          <w:t>Church of Scotland</w:t>
        </w:r>
      </w:hyperlink>
      <w:r w:rsidRPr="00AA5F87">
        <w:rPr>
          <w:rFonts w:ascii="Arial" w:hAnsi="Arial" w:cs="Arial"/>
          <w:lang/>
        </w:rPr>
        <w:t> or the substitution of </w:t>
      </w:r>
      <w:hyperlink r:id="rId74" w:tooltip="English law" w:history="1">
        <w:r w:rsidRPr="00AA5F87">
          <w:rPr>
            <w:rStyle w:val="Hyperlink"/>
            <w:rFonts w:ascii="Arial" w:hAnsi="Arial" w:cs="Arial"/>
            <w:color w:val="auto"/>
            <w:lang/>
          </w:rPr>
          <w:t>English law</w:t>
        </w:r>
      </w:hyperlink>
      <w:r w:rsidRPr="00AA5F87">
        <w:rPr>
          <w:rFonts w:ascii="Arial" w:hAnsi="Arial" w:cs="Arial"/>
          <w:lang/>
        </w:rPr>
        <w:t> for </w:t>
      </w:r>
      <w:hyperlink r:id="rId75" w:tooltip="Scots law" w:history="1">
        <w:r w:rsidRPr="00AA5F87">
          <w:rPr>
            <w:rStyle w:val="Hyperlink"/>
            <w:rFonts w:ascii="Arial" w:hAnsi="Arial" w:cs="Arial"/>
            <w:color w:val="auto"/>
            <w:lang/>
          </w:rPr>
          <w:t>Scots law</w:t>
        </w:r>
      </w:hyperlink>
      <w:r w:rsidRPr="00AA5F87">
        <w:rPr>
          <w:rFonts w:ascii="Arial" w:hAnsi="Arial" w:cs="Arial"/>
          <w:lang/>
        </w:rPr>
        <w:t>.</w:t>
      </w:r>
    </w:p>
    <w:p w:rsidR="0061370B" w:rsidRPr="00AA5F87" w:rsidRDefault="0061370B" w:rsidP="00AA5F87">
      <w:pPr>
        <w:rPr>
          <w:rFonts w:ascii="Arial" w:hAnsi="Arial" w:cs="Arial"/>
          <w:lang/>
        </w:rPr>
      </w:pPr>
      <w:r w:rsidRPr="00AA5F87">
        <w:rPr>
          <w:rFonts w:ascii="Arial" w:hAnsi="Arial" w:cs="Arial"/>
          <w:lang/>
        </w:rPr>
        <w:t>The establishment of the </w:t>
      </w:r>
      <w:hyperlink r:id="rId76" w:tooltip="Scottish Parliament" w:history="1">
        <w:r w:rsidRPr="00AA5F87">
          <w:rPr>
            <w:rStyle w:val="Hyperlink"/>
            <w:rFonts w:ascii="Arial" w:hAnsi="Arial" w:cs="Arial"/>
            <w:color w:val="auto"/>
            <w:lang/>
          </w:rPr>
          <w:t>Scottish Parliament</w:t>
        </w:r>
      </w:hyperlink>
      <w:r w:rsidRPr="00AA5F87">
        <w:rPr>
          <w:rFonts w:ascii="Arial" w:hAnsi="Arial" w:cs="Arial"/>
          <w:lang/>
        </w:rPr>
        <w:t> in 1998 has implications for parliamentary supremacy. For example, although </w:t>
      </w:r>
      <w:hyperlink r:id="rId77" w:tooltip="Nuclear power" w:history="1">
        <w:r w:rsidRPr="00AA5F87">
          <w:rPr>
            <w:rStyle w:val="Hyperlink"/>
            <w:rFonts w:ascii="Arial" w:hAnsi="Arial" w:cs="Arial"/>
            <w:color w:val="auto"/>
            <w:lang/>
          </w:rPr>
          <w:t>nuclear power</w:t>
        </w:r>
      </w:hyperlink>
      <w:r w:rsidRPr="00AA5F87">
        <w:rPr>
          <w:rFonts w:ascii="Arial" w:hAnsi="Arial" w:cs="Arial"/>
          <w:lang/>
        </w:rPr>
        <w:t> is not within its competence, the </w:t>
      </w:r>
      <w:hyperlink r:id="rId78" w:tooltip="Scottish government" w:history="1">
        <w:r w:rsidRPr="00AA5F87">
          <w:rPr>
            <w:rStyle w:val="Hyperlink"/>
            <w:rFonts w:ascii="Arial" w:hAnsi="Arial" w:cs="Arial"/>
            <w:color w:val="auto"/>
            <w:lang/>
          </w:rPr>
          <w:t>Scottish government</w:t>
        </w:r>
      </w:hyperlink>
      <w:r w:rsidRPr="00AA5F87">
        <w:rPr>
          <w:rFonts w:ascii="Arial" w:hAnsi="Arial" w:cs="Arial"/>
          <w:lang/>
        </w:rPr>
        <w:t> successfully blocked the wishes of the </w:t>
      </w:r>
      <w:hyperlink r:id="rId79" w:tooltip="UK government" w:history="1">
        <w:r w:rsidRPr="00AA5F87">
          <w:rPr>
            <w:rStyle w:val="Hyperlink"/>
            <w:rFonts w:ascii="Arial" w:hAnsi="Arial" w:cs="Arial"/>
            <w:color w:val="auto"/>
            <w:lang/>
          </w:rPr>
          <w:t>UK government</w:t>
        </w:r>
      </w:hyperlink>
      <w:r w:rsidRPr="00AA5F87">
        <w:rPr>
          <w:rFonts w:ascii="Arial" w:hAnsi="Arial" w:cs="Arial"/>
          <w:lang/>
        </w:rPr>
        <w:t> to establish new nuclear power stations in Scotland using control over planning applications which is devolved. While it remains theoretically possible to dissolve the </w:t>
      </w:r>
      <w:hyperlink r:id="rId80" w:tooltip="Scottish Parliament" w:history="1">
        <w:r w:rsidRPr="00AA5F87">
          <w:rPr>
            <w:rStyle w:val="Hyperlink"/>
            <w:rFonts w:ascii="Arial" w:hAnsi="Arial" w:cs="Arial"/>
            <w:color w:val="auto"/>
            <w:lang/>
          </w:rPr>
          <w:t>Scottish Parliament</w:t>
        </w:r>
      </w:hyperlink>
      <w:r w:rsidRPr="00AA5F87">
        <w:rPr>
          <w:rFonts w:ascii="Arial" w:hAnsi="Arial" w:cs="Arial"/>
          <w:lang/>
        </w:rPr>
        <w:t> or legislate without its consent in relation to Scotland, in practice such a move would be politically difficult.</w:t>
      </w:r>
    </w:p>
    <w:p w:rsidR="0061370B" w:rsidRPr="00AA5F87" w:rsidRDefault="0061370B" w:rsidP="00AA5F87">
      <w:pPr>
        <w:rPr>
          <w:rFonts w:cs="Arial"/>
          <w:lang/>
        </w:rPr>
      </w:pPr>
      <w:proofErr w:type="gramStart"/>
      <w:r w:rsidRPr="00AA5F87">
        <w:rPr>
          <w:rStyle w:val="mw-headline"/>
          <w:rFonts w:ascii="Georgia" w:hAnsi="Georgia" w:cs="Arial"/>
          <w:b/>
          <w:bCs/>
          <w:lang/>
        </w:rPr>
        <w:t>Development</w:t>
      </w:r>
      <w:r w:rsidRPr="00AA5F87">
        <w:rPr>
          <w:rStyle w:val="mw-editsection-bracket"/>
          <w:rFonts w:ascii="Arial" w:hAnsi="Arial" w:cs="Arial"/>
          <w:b/>
          <w:bCs/>
          <w:sz w:val="24"/>
          <w:szCs w:val="24"/>
          <w:lang/>
        </w:rPr>
        <w:t>[</w:t>
      </w:r>
      <w:proofErr w:type="gramEnd"/>
      <w:r w:rsidRPr="00AA5F87">
        <w:rPr>
          <w:rStyle w:val="mw-editsection"/>
          <w:rFonts w:ascii="Arial" w:hAnsi="Arial" w:cs="Arial"/>
          <w:b/>
          <w:bCs/>
          <w:sz w:val="24"/>
          <w:szCs w:val="24"/>
          <w:lang/>
        </w:rPr>
        <w:fldChar w:fldCharType="begin"/>
      </w:r>
      <w:r w:rsidRPr="00AA5F87">
        <w:rPr>
          <w:rStyle w:val="mw-editsection"/>
          <w:rFonts w:ascii="Arial" w:hAnsi="Arial" w:cs="Arial"/>
          <w:b/>
          <w:bCs/>
          <w:sz w:val="24"/>
          <w:szCs w:val="24"/>
          <w:lang/>
        </w:rPr>
        <w:instrText xml:space="preserve"> HYPERLINK "https://en.wikipedia.org/w/index.php?title=Parliamentary_sovereignty_in_the_United_Kingdom&amp;action=edit&amp;section=4" \o "Edit section: Development" </w:instrText>
      </w:r>
      <w:r w:rsidRPr="00AA5F87">
        <w:rPr>
          <w:rStyle w:val="mw-editsection"/>
          <w:rFonts w:ascii="Arial" w:hAnsi="Arial" w:cs="Arial"/>
          <w:b/>
          <w:bCs/>
          <w:sz w:val="24"/>
          <w:szCs w:val="24"/>
          <w:lang/>
        </w:rPr>
        <w:fldChar w:fldCharType="separate"/>
      </w:r>
      <w:r w:rsidRPr="00AA5F87">
        <w:rPr>
          <w:rStyle w:val="Hyperlink"/>
          <w:rFonts w:ascii="Arial" w:hAnsi="Arial" w:cs="Arial"/>
          <w:b/>
          <w:bCs/>
          <w:color w:val="auto"/>
          <w:sz w:val="24"/>
          <w:szCs w:val="24"/>
          <w:lang/>
        </w:rPr>
        <w:t>edit</w:t>
      </w:r>
      <w:r w:rsidRPr="00AA5F87">
        <w:rPr>
          <w:rStyle w:val="mw-editsection"/>
          <w:rFonts w:ascii="Arial" w:hAnsi="Arial" w:cs="Arial"/>
          <w:b/>
          <w:bCs/>
          <w:sz w:val="24"/>
          <w:szCs w:val="24"/>
          <w:lang/>
        </w:rPr>
        <w:fldChar w:fldCharType="end"/>
      </w:r>
      <w:r w:rsidRPr="00AA5F87">
        <w:rPr>
          <w:rStyle w:val="mw-editsection-bracket"/>
          <w:rFonts w:ascii="Arial" w:hAnsi="Arial" w:cs="Arial"/>
          <w:b/>
          <w:bCs/>
          <w:sz w:val="24"/>
          <w:szCs w:val="24"/>
          <w:lang/>
        </w:rPr>
        <w:t>]</w:t>
      </w:r>
    </w:p>
    <w:p w:rsidR="0061370B" w:rsidRPr="00AA5F87" w:rsidRDefault="0061370B" w:rsidP="00AA5F87">
      <w:pPr>
        <w:rPr>
          <w:rFonts w:ascii="Arial" w:hAnsi="Arial" w:cs="Arial"/>
          <w:sz w:val="29"/>
          <w:szCs w:val="29"/>
          <w:lang/>
        </w:rPr>
      </w:pPr>
      <w:r w:rsidRPr="00AA5F87">
        <w:rPr>
          <w:rStyle w:val="mw-headline"/>
          <w:rFonts w:ascii="Arial" w:hAnsi="Arial" w:cs="Arial"/>
          <w:sz w:val="29"/>
          <w:szCs w:val="29"/>
          <w:lang/>
        </w:rPr>
        <w:t>Parliament Acts</w:t>
      </w:r>
    </w:p>
    <w:p w:rsidR="0061370B" w:rsidRPr="00AA5F87" w:rsidRDefault="0061370B" w:rsidP="00AA5F87">
      <w:pPr>
        <w:rPr>
          <w:rFonts w:ascii="Arial" w:hAnsi="Arial" w:cs="Arial"/>
          <w:sz w:val="24"/>
          <w:szCs w:val="24"/>
          <w:lang/>
        </w:rPr>
      </w:pPr>
      <w:r w:rsidRPr="00AA5F87">
        <w:rPr>
          <w:rFonts w:ascii="Arial" w:hAnsi="Arial" w:cs="Arial"/>
          <w:lang/>
        </w:rPr>
        <w:t>The accepted rule is that the bill must be signed by both Houses of Parliament and has been granted </w:t>
      </w:r>
      <w:hyperlink r:id="rId81" w:tooltip="Royal assent" w:history="1">
        <w:r w:rsidRPr="00AA5F87">
          <w:rPr>
            <w:rStyle w:val="Hyperlink"/>
            <w:rFonts w:ascii="Arial" w:hAnsi="Arial" w:cs="Arial"/>
            <w:color w:val="auto"/>
            <w:lang/>
          </w:rPr>
          <w:t>royal assent</w:t>
        </w:r>
      </w:hyperlink>
      <w:r w:rsidRPr="00AA5F87">
        <w:rPr>
          <w:rFonts w:ascii="Arial" w:hAnsi="Arial" w:cs="Arial"/>
          <w:lang/>
        </w:rPr>
        <w:t>, unless the </w:t>
      </w:r>
      <w:hyperlink r:id="rId82" w:tooltip="Parliament Acts 1911 and 1949" w:history="1">
        <w:r w:rsidRPr="00AA5F87">
          <w:rPr>
            <w:rStyle w:val="Hyperlink"/>
            <w:rFonts w:ascii="Arial" w:hAnsi="Arial" w:cs="Arial"/>
            <w:color w:val="auto"/>
            <w:lang/>
          </w:rPr>
          <w:t>Parliament Act procedure</w:t>
        </w:r>
      </w:hyperlink>
      <w:r w:rsidRPr="00AA5F87">
        <w:rPr>
          <w:rFonts w:ascii="Arial" w:hAnsi="Arial" w:cs="Arial"/>
          <w:lang/>
        </w:rPr>
        <w:t xml:space="preserve"> has been properly enacted. The Parliament Acts create a system of passing a bill without the consent of the Lords. That system does not however, extend to private or local bills, </w:t>
      </w:r>
      <w:proofErr w:type="gramStart"/>
      <w:r w:rsidRPr="00AA5F87">
        <w:rPr>
          <w:rFonts w:ascii="Arial" w:hAnsi="Arial" w:cs="Arial"/>
          <w:lang/>
        </w:rPr>
        <w:t>nor</w:t>
      </w:r>
      <w:proofErr w:type="gramEnd"/>
      <w:r w:rsidRPr="00AA5F87">
        <w:rPr>
          <w:rFonts w:ascii="Arial" w:hAnsi="Arial" w:cs="Arial"/>
          <w:lang/>
        </w:rPr>
        <w:t xml:space="preserve"> bills extending the length of a parliament beyond five years. However, despite the granting of the Speaker's Certificate, certifying the act to be valid, the validity of an act passed under the Parliament Acts may still be challenged in the </w:t>
      </w:r>
      <w:proofErr w:type="spellStart"/>
      <w:r w:rsidRPr="00AA5F87">
        <w:rPr>
          <w:rFonts w:ascii="Arial" w:hAnsi="Arial" w:cs="Arial"/>
          <w:lang/>
        </w:rPr>
        <w:t>courts.In</w:t>
      </w:r>
      <w:proofErr w:type="spellEnd"/>
      <w:r w:rsidRPr="00AA5F87">
        <w:rPr>
          <w:rFonts w:ascii="Arial" w:hAnsi="Arial" w:cs="Arial"/>
          <w:lang/>
        </w:rPr>
        <w:t> </w:t>
      </w:r>
      <w:hyperlink r:id="rId83" w:tooltip="Jackson v Attorney General" w:history="1">
        <w:r w:rsidRPr="00AA5F87">
          <w:rPr>
            <w:rStyle w:val="Hyperlink"/>
            <w:rFonts w:ascii="Arial" w:hAnsi="Arial" w:cs="Arial"/>
            <w:i/>
            <w:iCs/>
            <w:color w:val="auto"/>
            <w:lang/>
          </w:rPr>
          <w:t>Jackson v Attorney General</w:t>
        </w:r>
      </w:hyperlink>
      <w:r w:rsidRPr="00AA5F87">
        <w:rPr>
          <w:rFonts w:ascii="Arial" w:hAnsi="Arial" w:cs="Arial"/>
          <w:lang/>
        </w:rPr>
        <w:t>, the judges decided by a seven-to-two majority that an Act that extended the life of a parliament would be considered invalid by the courts if it had been passed under the Parliament Act procedure.</w:t>
      </w:r>
    </w:p>
    <w:p w:rsidR="0061370B" w:rsidRPr="00AA5F87" w:rsidRDefault="0061370B" w:rsidP="00AA5F87">
      <w:pPr>
        <w:rPr>
          <w:rFonts w:ascii="Arial" w:hAnsi="Arial" w:cs="Arial"/>
          <w:sz w:val="29"/>
          <w:szCs w:val="29"/>
          <w:lang/>
        </w:rPr>
      </w:pPr>
      <w:r w:rsidRPr="00AA5F87">
        <w:rPr>
          <w:rStyle w:val="mw-headline"/>
          <w:rFonts w:ascii="Arial" w:hAnsi="Arial" w:cs="Arial"/>
          <w:sz w:val="29"/>
          <w:szCs w:val="29"/>
          <w:lang/>
        </w:rPr>
        <w:t>European Union</w:t>
      </w:r>
    </w:p>
    <w:p w:rsidR="0061370B" w:rsidRPr="00AA5F87" w:rsidRDefault="0061370B" w:rsidP="00AA5F87">
      <w:pPr>
        <w:rPr>
          <w:rFonts w:ascii="Arial" w:hAnsi="Arial" w:cs="Arial"/>
          <w:sz w:val="24"/>
          <w:szCs w:val="24"/>
          <w:lang/>
        </w:rPr>
      </w:pPr>
      <w:r w:rsidRPr="00AA5F87">
        <w:rPr>
          <w:rFonts w:ascii="Arial" w:hAnsi="Arial" w:cs="Arial"/>
          <w:lang/>
        </w:rPr>
        <w:t xml:space="preserve">From 1973 to 2020, the United Kingdom was </w:t>
      </w:r>
      <w:proofErr w:type="gramStart"/>
      <w:r w:rsidRPr="00AA5F87">
        <w:rPr>
          <w:rFonts w:ascii="Arial" w:hAnsi="Arial" w:cs="Arial"/>
          <w:lang/>
        </w:rPr>
        <w:t>a member state</w:t>
      </w:r>
      <w:proofErr w:type="gramEnd"/>
      <w:r w:rsidRPr="00AA5F87">
        <w:rPr>
          <w:rFonts w:ascii="Arial" w:hAnsi="Arial" w:cs="Arial"/>
          <w:lang/>
        </w:rPr>
        <w:t xml:space="preserve"> of the </w:t>
      </w:r>
      <w:hyperlink r:id="rId84" w:tooltip="European Economic Community" w:history="1">
        <w:r w:rsidRPr="00AA5F87">
          <w:rPr>
            <w:rStyle w:val="Hyperlink"/>
            <w:rFonts w:ascii="Arial" w:hAnsi="Arial" w:cs="Arial"/>
            <w:color w:val="auto"/>
            <w:lang/>
          </w:rPr>
          <w:t>European Economic Community</w:t>
        </w:r>
      </w:hyperlink>
      <w:r w:rsidRPr="00AA5F87">
        <w:rPr>
          <w:rFonts w:ascii="Arial" w:hAnsi="Arial" w:cs="Arial"/>
          <w:lang/>
        </w:rPr>
        <w:t> and its successors the European Community and the </w:t>
      </w:r>
      <w:hyperlink r:id="rId85" w:tooltip="European Union" w:history="1">
        <w:r w:rsidRPr="00AA5F87">
          <w:rPr>
            <w:rStyle w:val="Hyperlink"/>
            <w:rFonts w:ascii="Arial" w:hAnsi="Arial" w:cs="Arial"/>
            <w:color w:val="auto"/>
            <w:lang/>
          </w:rPr>
          <w:t>European Union</w:t>
        </w:r>
      </w:hyperlink>
      <w:r w:rsidRPr="00AA5F87">
        <w:rPr>
          <w:rFonts w:ascii="Arial" w:hAnsi="Arial" w:cs="Arial"/>
          <w:lang/>
        </w:rPr>
        <w:t>.</w:t>
      </w:r>
    </w:p>
    <w:p w:rsidR="0061370B" w:rsidRPr="00AA5F87" w:rsidRDefault="0061370B" w:rsidP="00AA5F87">
      <w:pPr>
        <w:rPr>
          <w:rFonts w:ascii="Arial" w:hAnsi="Arial" w:cs="Arial"/>
          <w:lang/>
        </w:rPr>
      </w:pPr>
      <w:r w:rsidRPr="00AA5F87">
        <w:rPr>
          <w:rFonts w:ascii="Arial" w:hAnsi="Arial" w:cs="Arial"/>
          <w:lang/>
        </w:rPr>
        <w:t>The </w:t>
      </w:r>
      <w:hyperlink r:id="rId86" w:tooltip="European Communities Act 1972 (UK)" w:history="1">
        <w:r w:rsidRPr="00AA5F87">
          <w:rPr>
            <w:rStyle w:val="Hyperlink"/>
            <w:rFonts w:ascii="Arial" w:hAnsi="Arial" w:cs="Arial"/>
            <w:color w:val="auto"/>
            <w:lang/>
          </w:rPr>
          <w:t>European Communities Act 1972</w:t>
        </w:r>
      </w:hyperlink>
      <w:r w:rsidRPr="00AA5F87">
        <w:rPr>
          <w:rFonts w:ascii="Arial" w:hAnsi="Arial" w:cs="Arial"/>
          <w:lang/>
        </w:rPr>
        <w:t> gave </w:t>
      </w:r>
      <w:hyperlink r:id="rId87" w:tooltip="European Union law" w:history="1">
        <w:r w:rsidRPr="00AA5F87">
          <w:rPr>
            <w:rStyle w:val="Hyperlink"/>
            <w:rFonts w:ascii="Arial" w:hAnsi="Arial" w:cs="Arial"/>
            <w:color w:val="auto"/>
            <w:lang/>
          </w:rPr>
          <w:t>Community legislation</w:t>
        </w:r>
      </w:hyperlink>
      <w:r w:rsidRPr="00AA5F87">
        <w:rPr>
          <w:rFonts w:ascii="Arial" w:hAnsi="Arial" w:cs="Arial"/>
          <w:lang/>
        </w:rPr>
        <w:t xml:space="preserve"> the force of law in the United Kingdom: section 2(1) reads: "All such rights, powers, liabilities, obligations and restrictions from time to time created or arising by or under the Treaties... are without further enactment to be given legal effect or used in the United Kingdom shall be </w:t>
      </w:r>
      <w:proofErr w:type="spellStart"/>
      <w:r w:rsidRPr="00AA5F87">
        <w:rPr>
          <w:rFonts w:ascii="Arial" w:hAnsi="Arial" w:cs="Arial"/>
          <w:lang/>
        </w:rPr>
        <w:t>recognised</w:t>
      </w:r>
      <w:proofErr w:type="spellEnd"/>
      <w:r w:rsidRPr="00AA5F87">
        <w:rPr>
          <w:rFonts w:ascii="Arial" w:hAnsi="Arial" w:cs="Arial"/>
          <w:lang/>
        </w:rPr>
        <w:t xml:space="preserve"> and available in law, and be enforced, allowed and followed".</w:t>
      </w:r>
    </w:p>
    <w:p w:rsidR="0061370B" w:rsidRPr="00AA5F87" w:rsidRDefault="0061370B" w:rsidP="00AA5F87">
      <w:pPr>
        <w:rPr>
          <w:rFonts w:ascii="Arial" w:hAnsi="Arial" w:cs="Arial"/>
          <w:lang/>
        </w:rPr>
      </w:pPr>
      <w:r w:rsidRPr="00AA5F87">
        <w:rPr>
          <w:rFonts w:ascii="Arial" w:hAnsi="Arial" w:cs="Arial"/>
          <w:lang/>
        </w:rPr>
        <w:t>The case of </w:t>
      </w:r>
      <w:hyperlink r:id="rId88" w:tooltip="Factortame litigation" w:history="1">
        <w:r w:rsidRPr="00AA5F87">
          <w:rPr>
            <w:rStyle w:val="Hyperlink"/>
            <w:rFonts w:ascii="Arial" w:hAnsi="Arial" w:cs="Arial"/>
            <w:i/>
            <w:iCs/>
            <w:color w:val="auto"/>
            <w:lang/>
          </w:rPr>
          <w:t xml:space="preserve">R v. Secretary of State for Transport ex parte </w:t>
        </w:r>
        <w:proofErr w:type="spellStart"/>
        <w:r w:rsidRPr="00AA5F87">
          <w:rPr>
            <w:rStyle w:val="Hyperlink"/>
            <w:rFonts w:ascii="Arial" w:hAnsi="Arial" w:cs="Arial"/>
            <w:i/>
            <w:iCs/>
            <w:color w:val="auto"/>
            <w:lang/>
          </w:rPr>
          <w:t>Factortame</w:t>
        </w:r>
        <w:proofErr w:type="spellEnd"/>
      </w:hyperlink>
      <w:r w:rsidRPr="00AA5F87">
        <w:rPr>
          <w:rFonts w:ascii="Arial" w:hAnsi="Arial" w:cs="Arial"/>
          <w:lang/>
        </w:rPr>
        <w:t> is considered decisive as to the superiority of EU law over British law. It judged that the </w:t>
      </w:r>
      <w:hyperlink r:id="rId89" w:tooltip="Merchant Shipping Act 1988" w:history="1">
        <w:r w:rsidRPr="00AA5F87">
          <w:rPr>
            <w:rStyle w:val="Hyperlink"/>
            <w:rFonts w:ascii="Arial" w:hAnsi="Arial" w:cs="Arial"/>
            <w:color w:val="auto"/>
            <w:lang/>
          </w:rPr>
          <w:t>Merchant Shipping Act 1988</w:t>
        </w:r>
      </w:hyperlink>
      <w:r w:rsidRPr="00AA5F87">
        <w:rPr>
          <w:rFonts w:ascii="Arial" w:hAnsi="Arial" w:cs="Arial"/>
          <w:lang/>
        </w:rPr>
        <w:t> and section 21 of the </w:t>
      </w:r>
      <w:hyperlink r:id="rId90" w:tooltip="Crown Proceedings Act 1947" w:history="1">
        <w:r w:rsidRPr="00AA5F87">
          <w:rPr>
            <w:rStyle w:val="Hyperlink"/>
            <w:rFonts w:ascii="Arial" w:hAnsi="Arial" w:cs="Arial"/>
            <w:color w:val="auto"/>
            <w:lang/>
          </w:rPr>
          <w:t>Crown Proceedings Act 1947</w:t>
        </w:r>
      </w:hyperlink>
      <w:r w:rsidRPr="00AA5F87">
        <w:rPr>
          <w:rFonts w:ascii="Arial" w:hAnsi="Arial" w:cs="Arial"/>
          <w:lang/>
        </w:rPr>
        <w:t> (which prevented an </w:t>
      </w:r>
      <w:hyperlink r:id="rId91" w:tooltip="Injunction" w:history="1">
        <w:r w:rsidRPr="00AA5F87">
          <w:rPr>
            <w:rStyle w:val="Hyperlink"/>
            <w:rFonts w:ascii="Arial" w:hAnsi="Arial" w:cs="Arial"/>
            <w:color w:val="auto"/>
            <w:lang/>
          </w:rPr>
          <w:t>injunction</w:t>
        </w:r>
      </w:hyperlink>
      <w:r w:rsidRPr="00AA5F87">
        <w:rPr>
          <w:rFonts w:ascii="Arial" w:hAnsi="Arial" w:cs="Arial"/>
          <w:lang/>
        </w:rPr>
        <w:t xml:space="preserve"> against the Crown) should be </w:t>
      </w:r>
      <w:proofErr w:type="spellStart"/>
      <w:r w:rsidRPr="00AA5F87">
        <w:rPr>
          <w:rFonts w:ascii="Arial" w:hAnsi="Arial" w:cs="Arial"/>
          <w:lang/>
        </w:rPr>
        <w:t>disapplied</w:t>
      </w:r>
      <w:proofErr w:type="spellEnd"/>
      <w:r w:rsidRPr="00AA5F87">
        <w:rPr>
          <w:rFonts w:ascii="Arial" w:hAnsi="Arial" w:cs="Arial"/>
          <w:lang/>
        </w:rPr>
        <w:t>. Alongside </w:t>
      </w:r>
      <w:r w:rsidRPr="00AA5F87">
        <w:rPr>
          <w:rFonts w:ascii="Arial" w:hAnsi="Arial" w:cs="Arial"/>
          <w:i/>
          <w:iCs/>
          <w:lang/>
        </w:rPr>
        <w:t>R v Employment Secretary, ex parte EOC</w:t>
      </w:r>
      <w:r w:rsidRPr="00AA5F87">
        <w:rPr>
          <w:rFonts w:ascii="Arial" w:hAnsi="Arial" w:cs="Arial"/>
          <w:lang/>
        </w:rPr>
        <w:t xml:space="preserve">, these two </w:t>
      </w:r>
      <w:r w:rsidRPr="00AA5F87">
        <w:rPr>
          <w:rFonts w:ascii="Arial" w:hAnsi="Arial" w:cs="Arial"/>
          <w:lang/>
        </w:rPr>
        <w:lastRenderedPageBreak/>
        <w:t>cases establish that any national legislation, coming into force before or after the European Communities Act 1972, cannot be applied by British courts if it contradicts Community law.</w:t>
      </w:r>
    </w:p>
    <w:p w:rsidR="0061370B" w:rsidRPr="00AA5F87" w:rsidRDefault="0061370B" w:rsidP="00AA5F87">
      <w:pPr>
        <w:rPr>
          <w:rFonts w:ascii="Arial" w:hAnsi="Arial" w:cs="Arial"/>
          <w:lang/>
        </w:rPr>
      </w:pPr>
      <w:r w:rsidRPr="00AA5F87">
        <w:rPr>
          <w:rFonts w:ascii="Arial" w:hAnsi="Arial" w:cs="Arial"/>
          <w:lang/>
        </w:rPr>
        <w:t>The </w:t>
      </w:r>
      <w:proofErr w:type="spellStart"/>
      <w:r w:rsidRPr="00AA5F87">
        <w:rPr>
          <w:rFonts w:ascii="Arial" w:hAnsi="Arial" w:cs="Arial"/>
          <w:i/>
          <w:iCs/>
          <w:lang/>
        </w:rPr>
        <w:t>Factortame</w:t>
      </w:r>
      <w:proofErr w:type="spellEnd"/>
      <w:r w:rsidRPr="00AA5F87">
        <w:rPr>
          <w:rFonts w:ascii="Arial" w:hAnsi="Arial" w:cs="Arial"/>
          <w:lang/>
        </w:rPr>
        <w:t> case was considered to be revolutionary by </w:t>
      </w:r>
      <w:hyperlink r:id="rId92" w:tooltip="Sir William Wade" w:history="1">
        <w:r w:rsidRPr="00AA5F87">
          <w:rPr>
            <w:rStyle w:val="Hyperlink"/>
            <w:rFonts w:ascii="Arial" w:hAnsi="Arial" w:cs="Arial"/>
            <w:color w:val="auto"/>
            <w:lang/>
          </w:rPr>
          <w:t>Sir William Wade</w:t>
        </w:r>
      </w:hyperlink>
      <w:r w:rsidRPr="00AA5F87">
        <w:rPr>
          <w:rFonts w:ascii="Arial" w:hAnsi="Arial" w:cs="Arial"/>
          <w:lang/>
        </w:rPr>
        <w:t xml:space="preserve">, who cited in particular Lord Bridge's statement that "there is nothing in any way novel in according supremacy to rules of Community law in areas to which they apply and to insist that... national courts must not be prohibited by rules of national law from granting interim relief in appropriate cases is no more than a logical recognition of that supremacy", which Wade </w:t>
      </w:r>
      <w:proofErr w:type="spellStart"/>
      <w:r w:rsidRPr="00AA5F87">
        <w:rPr>
          <w:rFonts w:ascii="Arial" w:hAnsi="Arial" w:cs="Arial"/>
          <w:lang/>
        </w:rPr>
        <w:t>characterises</w:t>
      </w:r>
      <w:proofErr w:type="spellEnd"/>
      <w:r w:rsidRPr="00AA5F87">
        <w:rPr>
          <w:rFonts w:ascii="Arial" w:hAnsi="Arial" w:cs="Arial"/>
          <w:lang/>
        </w:rPr>
        <w:t xml:space="preserve"> a clear statement that parliament can bind its successors and is therefore a very significant break from traditional thinking. </w:t>
      </w:r>
      <w:hyperlink r:id="rId93" w:tooltip="Trevor Allan (legal philosopher)" w:history="1">
        <w:r w:rsidRPr="00AA5F87">
          <w:rPr>
            <w:rStyle w:val="Hyperlink"/>
            <w:rFonts w:ascii="Arial" w:hAnsi="Arial" w:cs="Arial"/>
            <w:color w:val="auto"/>
            <w:lang/>
          </w:rPr>
          <w:t>Trevor Allan</w:t>
        </w:r>
      </w:hyperlink>
      <w:r w:rsidRPr="00AA5F87">
        <w:rPr>
          <w:rFonts w:ascii="Arial" w:hAnsi="Arial" w:cs="Arial"/>
          <w:lang/>
        </w:rPr>
        <w:t>, argued, however, that the change in rule was accepted by the existing order because of strong legal reasons. Since legal reasons existed, the House of Lords had, instead, determined what the current system suggested under new circumstances and so no revolution had occurred.</w:t>
      </w:r>
    </w:p>
    <w:p w:rsidR="0061370B" w:rsidRPr="00AA5F87" w:rsidRDefault="0061370B" w:rsidP="00AA5F87">
      <w:pPr>
        <w:rPr>
          <w:rFonts w:ascii="Arial" w:hAnsi="Arial" w:cs="Arial"/>
          <w:lang/>
        </w:rPr>
      </w:pPr>
      <w:r w:rsidRPr="00AA5F87">
        <w:rPr>
          <w:rFonts w:ascii="Arial" w:hAnsi="Arial" w:cs="Arial"/>
          <w:lang/>
        </w:rPr>
        <w:t>Section 18 of the </w:t>
      </w:r>
      <w:hyperlink r:id="rId94" w:tooltip="European Union Act 2011" w:history="1">
        <w:r w:rsidRPr="00AA5F87">
          <w:rPr>
            <w:rStyle w:val="Hyperlink"/>
            <w:rFonts w:ascii="Arial" w:hAnsi="Arial" w:cs="Arial"/>
            <w:color w:val="auto"/>
            <w:lang/>
          </w:rPr>
          <w:t>European Union Act 2011</w:t>
        </w:r>
      </w:hyperlink>
      <w:r w:rsidRPr="00AA5F87">
        <w:rPr>
          <w:rFonts w:ascii="Arial" w:hAnsi="Arial" w:cs="Arial"/>
          <w:lang/>
        </w:rPr>
        <w:t> declared that EU law is directly applicable only through the European Communities Act or another act fulfilling the same role</w:t>
      </w:r>
    </w:p>
    <w:p w:rsidR="0061370B" w:rsidRPr="00AA5F87" w:rsidRDefault="0061370B" w:rsidP="00AA5F87">
      <w:pPr>
        <w:rPr>
          <w:rFonts w:ascii="Arial" w:hAnsi="Arial" w:cs="Arial"/>
          <w:lang/>
        </w:rPr>
      </w:pPr>
      <w:r w:rsidRPr="00AA5F87">
        <w:rPr>
          <w:rFonts w:ascii="Arial" w:hAnsi="Arial" w:cs="Arial"/>
          <w:lang/>
        </w:rPr>
        <w:t>Parliament </w:t>
      </w:r>
      <w:hyperlink r:id="rId95" w:tooltip="European Union (Withdrawal) Act 2018" w:history="1">
        <w:r w:rsidRPr="00AA5F87">
          <w:rPr>
            <w:rStyle w:val="Hyperlink"/>
            <w:rFonts w:ascii="Arial" w:hAnsi="Arial" w:cs="Arial"/>
            <w:color w:val="auto"/>
            <w:lang/>
          </w:rPr>
          <w:t>legislated in 2018</w:t>
        </w:r>
      </w:hyperlink>
      <w:r w:rsidRPr="00AA5F87">
        <w:rPr>
          <w:rFonts w:ascii="Arial" w:hAnsi="Arial" w:cs="Arial"/>
          <w:lang/>
        </w:rPr>
        <w:t> to repeal the 1972 Act, and in 2020 the United Kingdom ceased to be a member of the EU in accordance with and by virtue of that Act (albeit amended by further legislation of Parliament), demonstrating that the previous Parliament (of 1972) had not bound its successor with respect to leaving the EU.</w:t>
      </w:r>
    </w:p>
    <w:p w:rsidR="0061370B" w:rsidRPr="00AA5F87" w:rsidRDefault="0061370B" w:rsidP="00AA5F87">
      <w:pPr>
        <w:rPr>
          <w:rFonts w:ascii="Arial" w:hAnsi="Arial" w:cs="Arial"/>
          <w:lang/>
        </w:rPr>
      </w:pPr>
      <w:r w:rsidRPr="00AA5F87">
        <w:rPr>
          <w:rFonts w:ascii="Arial" w:hAnsi="Arial" w:cs="Arial"/>
          <w:lang/>
        </w:rPr>
        <w:t>The </w:t>
      </w:r>
      <w:hyperlink r:id="rId96" w:tooltip="European Union (Withdrawal Agreement) Act 2020" w:history="1">
        <w:r w:rsidRPr="00AA5F87">
          <w:rPr>
            <w:rStyle w:val="Hyperlink"/>
            <w:rFonts w:ascii="Arial" w:hAnsi="Arial" w:cs="Arial"/>
            <w:color w:val="auto"/>
            <w:lang/>
          </w:rPr>
          <w:t>European Union (Withdrawal Agreement) Act 2020</w:t>
        </w:r>
      </w:hyperlink>
      <w:r w:rsidRPr="00AA5F87">
        <w:rPr>
          <w:rFonts w:ascii="Arial" w:hAnsi="Arial" w:cs="Arial"/>
          <w:lang/>
        </w:rPr>
        <w:t> further declared that "</w:t>
      </w:r>
      <w:r w:rsidRPr="00AA5F87">
        <w:rPr>
          <w:rFonts w:ascii="Arial" w:hAnsi="Arial" w:cs="Arial"/>
          <w:i/>
          <w:iCs/>
          <w:lang/>
        </w:rPr>
        <w:t xml:space="preserve">It is </w:t>
      </w:r>
      <w:proofErr w:type="spellStart"/>
      <w:r w:rsidRPr="00AA5F87">
        <w:rPr>
          <w:rFonts w:ascii="Arial" w:hAnsi="Arial" w:cs="Arial"/>
          <w:i/>
          <w:iCs/>
          <w:lang/>
        </w:rPr>
        <w:t>recognised</w:t>
      </w:r>
      <w:proofErr w:type="spellEnd"/>
      <w:r w:rsidRPr="00AA5F87">
        <w:rPr>
          <w:rFonts w:ascii="Arial" w:hAnsi="Arial" w:cs="Arial"/>
          <w:i/>
          <w:iCs/>
          <w:lang/>
        </w:rPr>
        <w:t xml:space="preserve"> that the Parliament of the United Kingdom is sovereign</w:t>
      </w:r>
      <w:r w:rsidRPr="00AA5F87">
        <w:rPr>
          <w:rFonts w:ascii="Arial" w:hAnsi="Arial" w:cs="Arial"/>
          <w:lang/>
        </w:rPr>
        <w:t>."</w:t>
      </w:r>
    </w:p>
    <w:p w:rsidR="0061370B" w:rsidRPr="00AA5F87" w:rsidRDefault="0061370B" w:rsidP="00AA5F87">
      <w:pPr>
        <w:rPr>
          <w:rFonts w:ascii="Arial" w:hAnsi="Arial" w:cs="Arial"/>
          <w:sz w:val="29"/>
          <w:szCs w:val="29"/>
          <w:lang/>
        </w:rPr>
      </w:pPr>
      <w:r w:rsidRPr="00AA5F87">
        <w:rPr>
          <w:rStyle w:val="mw-headline"/>
          <w:rFonts w:ascii="Arial" w:hAnsi="Arial" w:cs="Arial"/>
          <w:sz w:val="29"/>
          <w:szCs w:val="29"/>
          <w:lang/>
        </w:rPr>
        <w:t>Human Rights Act</w:t>
      </w:r>
    </w:p>
    <w:p w:rsidR="0061370B" w:rsidRPr="00AA5F87" w:rsidRDefault="0061370B" w:rsidP="00AA5F87">
      <w:pPr>
        <w:rPr>
          <w:rFonts w:ascii="Arial" w:hAnsi="Arial" w:cs="Arial"/>
          <w:sz w:val="24"/>
          <w:szCs w:val="24"/>
          <w:lang/>
        </w:rPr>
      </w:pPr>
      <w:r w:rsidRPr="00AA5F87">
        <w:rPr>
          <w:rFonts w:ascii="Arial" w:hAnsi="Arial" w:cs="Arial"/>
          <w:lang/>
        </w:rPr>
        <w:t>The </w:t>
      </w:r>
      <w:hyperlink r:id="rId97" w:tooltip="Human Rights Act 1998" w:history="1">
        <w:r w:rsidRPr="00AA5F87">
          <w:rPr>
            <w:rStyle w:val="Hyperlink"/>
            <w:rFonts w:ascii="Arial" w:hAnsi="Arial" w:cs="Arial"/>
            <w:color w:val="auto"/>
            <w:lang/>
          </w:rPr>
          <w:t>Human Rights Act 1998</w:t>
        </w:r>
      </w:hyperlink>
      <w:r w:rsidRPr="00AA5F87">
        <w:rPr>
          <w:rFonts w:ascii="Arial" w:hAnsi="Arial" w:cs="Arial"/>
          <w:lang/>
        </w:rPr>
        <w:t> confirmed the UK's commitment to the </w:t>
      </w:r>
      <w:hyperlink r:id="rId98" w:tooltip="European Convention on Human Rights" w:history="1">
        <w:r w:rsidRPr="00AA5F87">
          <w:rPr>
            <w:rStyle w:val="Hyperlink"/>
            <w:rFonts w:ascii="Arial" w:hAnsi="Arial" w:cs="Arial"/>
            <w:color w:val="auto"/>
            <w:lang/>
          </w:rPr>
          <w:t xml:space="preserve">European Convention on Human </w:t>
        </w:r>
        <w:proofErr w:type="spellStart"/>
        <w:r w:rsidRPr="00AA5F87">
          <w:rPr>
            <w:rStyle w:val="Hyperlink"/>
            <w:rFonts w:ascii="Arial" w:hAnsi="Arial" w:cs="Arial"/>
            <w:color w:val="auto"/>
            <w:lang/>
          </w:rPr>
          <w:t>Rights</w:t>
        </w:r>
      </w:hyperlink>
      <w:r w:rsidRPr="00AA5F87">
        <w:rPr>
          <w:rFonts w:ascii="Arial" w:hAnsi="Arial" w:cs="Arial"/>
          <w:lang/>
        </w:rPr>
        <w:t>.In</w:t>
      </w:r>
      <w:proofErr w:type="spellEnd"/>
      <w:r w:rsidRPr="00AA5F87">
        <w:rPr>
          <w:rFonts w:ascii="Arial" w:hAnsi="Arial" w:cs="Arial"/>
          <w:lang/>
        </w:rPr>
        <w:t xml:space="preserve"> a white paper, the government expressed that "to make provision in the Bill for the courts to set aside Acts of Parliament would confer on the judiciary a general power over the decisions of Parliament which under our present constitutional arrangements they do not possess, and would be likely on occasions to draw the judiciary into serious conflict with Parliament". According to the theory that a parliament cannot bind its successors, any form of a </w:t>
      </w:r>
      <w:hyperlink r:id="rId99" w:tooltip="Bill of Rights 1689" w:history="1">
        <w:r w:rsidRPr="00AA5F87">
          <w:rPr>
            <w:rStyle w:val="Hyperlink"/>
            <w:rFonts w:ascii="Arial" w:hAnsi="Arial" w:cs="Arial"/>
            <w:color w:val="auto"/>
            <w:lang/>
          </w:rPr>
          <w:t>Bill of Rights</w:t>
        </w:r>
      </w:hyperlink>
      <w:r w:rsidRPr="00AA5F87">
        <w:rPr>
          <w:rFonts w:ascii="Arial" w:hAnsi="Arial" w:cs="Arial"/>
          <w:lang/>
        </w:rPr>
        <w:t> cannot be </w:t>
      </w:r>
      <w:hyperlink r:id="rId100" w:tooltip="Entrenched legislation" w:history="1">
        <w:r w:rsidRPr="00AA5F87">
          <w:rPr>
            <w:rStyle w:val="Hyperlink"/>
            <w:rFonts w:ascii="Arial" w:hAnsi="Arial" w:cs="Arial"/>
            <w:color w:val="auto"/>
            <w:lang/>
          </w:rPr>
          <w:t>entrenched</w:t>
        </w:r>
      </w:hyperlink>
      <w:r w:rsidRPr="00AA5F87">
        <w:rPr>
          <w:rFonts w:ascii="Arial" w:hAnsi="Arial" w:cs="Arial"/>
          <w:lang/>
        </w:rPr>
        <w:t>, and a subsequent parliament could repeal the act. In the government's words, "[It is our tradition] to allow any Act of Parliament to be amended or repealed by a subsequent Act of Parliament." However, it would have been possible to apply human rights rules to previous (rather than future) legislation. The government also confirmed that it had no plans to devise a special [entrenchment] arrangement for the bill.</w:t>
      </w:r>
    </w:p>
    <w:p w:rsidR="0061370B" w:rsidRPr="00AA5F87" w:rsidRDefault="0061370B" w:rsidP="00AA5F87">
      <w:pPr>
        <w:rPr>
          <w:rFonts w:ascii="Arial" w:hAnsi="Arial" w:cs="Arial"/>
          <w:lang/>
        </w:rPr>
      </w:pPr>
      <w:r w:rsidRPr="00AA5F87">
        <w:rPr>
          <w:rFonts w:ascii="Arial" w:hAnsi="Arial" w:cs="Arial"/>
          <w:lang/>
        </w:rPr>
        <w:t>Instead, it would be for courts to interpret legislation consistently with the Convention, if such an interpretation were possible. This system confirmed the formal authority of Parliament, while allowing judicial oversight. A court cannot strike down primary legislation.</w:t>
      </w:r>
    </w:p>
    <w:p w:rsidR="0061370B" w:rsidRPr="00AA5F87" w:rsidRDefault="0061370B" w:rsidP="00AA5F87">
      <w:pPr>
        <w:rPr>
          <w:rFonts w:ascii="Arial" w:hAnsi="Arial" w:cs="Arial"/>
          <w:sz w:val="29"/>
          <w:szCs w:val="29"/>
          <w:lang/>
        </w:rPr>
      </w:pPr>
      <w:r w:rsidRPr="00AA5F87">
        <w:rPr>
          <w:rStyle w:val="mw-headline"/>
          <w:rFonts w:ascii="Arial" w:hAnsi="Arial" w:cs="Arial"/>
          <w:i/>
          <w:iCs/>
          <w:sz w:val="29"/>
          <w:szCs w:val="29"/>
          <w:lang/>
        </w:rPr>
        <w:t>Jackson v Attorney General</w:t>
      </w:r>
    </w:p>
    <w:p w:rsidR="0061370B" w:rsidRPr="00AA5F87" w:rsidRDefault="0061370B" w:rsidP="00AA5F87">
      <w:pPr>
        <w:rPr>
          <w:rFonts w:ascii="Arial" w:hAnsi="Arial" w:cs="Arial"/>
          <w:sz w:val="24"/>
          <w:szCs w:val="24"/>
          <w:lang/>
        </w:rPr>
      </w:pPr>
      <w:r w:rsidRPr="00AA5F87">
        <w:rPr>
          <w:rFonts w:ascii="Arial" w:hAnsi="Arial" w:cs="Arial"/>
          <w:lang/>
        </w:rPr>
        <w:lastRenderedPageBreak/>
        <w:t>In </w:t>
      </w:r>
      <w:hyperlink r:id="rId101" w:tooltip="Jackson v Attorney General" w:history="1">
        <w:r w:rsidRPr="00AA5F87">
          <w:rPr>
            <w:rStyle w:val="Hyperlink"/>
            <w:rFonts w:ascii="Arial" w:hAnsi="Arial" w:cs="Arial"/>
            <w:i/>
            <w:iCs/>
            <w:color w:val="auto"/>
            <w:lang/>
          </w:rPr>
          <w:t>Jackson v Attorney General</w:t>
        </w:r>
      </w:hyperlink>
      <w:r w:rsidRPr="00AA5F87">
        <w:rPr>
          <w:rFonts w:ascii="Arial" w:hAnsi="Arial" w:cs="Arial"/>
          <w:lang/>
        </w:rPr>
        <w:t>, the appellants questioned the validity of the </w:t>
      </w:r>
      <w:hyperlink r:id="rId102" w:tooltip="Parliament Act 1949" w:history="1">
        <w:r w:rsidRPr="00AA5F87">
          <w:rPr>
            <w:rStyle w:val="Hyperlink"/>
            <w:rFonts w:ascii="Arial" w:hAnsi="Arial" w:cs="Arial"/>
            <w:color w:val="auto"/>
            <w:lang/>
          </w:rPr>
          <w:t>Parliament Act 1949</w:t>
        </w:r>
      </w:hyperlink>
      <w:r w:rsidRPr="00AA5F87">
        <w:rPr>
          <w:rFonts w:ascii="Arial" w:hAnsi="Arial" w:cs="Arial"/>
          <w:lang/>
        </w:rPr>
        <w:t>. There were various arguments put forward by the appellants who were represented by </w:t>
      </w:r>
      <w:hyperlink r:id="rId103" w:tooltip="Sir Sydney Kentridge" w:history="1">
        <w:r w:rsidRPr="00AA5F87">
          <w:rPr>
            <w:rStyle w:val="Hyperlink"/>
            <w:rFonts w:ascii="Arial" w:hAnsi="Arial" w:cs="Arial"/>
            <w:color w:val="auto"/>
            <w:lang/>
          </w:rPr>
          <w:t xml:space="preserve">Sir Sydney </w:t>
        </w:r>
        <w:proofErr w:type="spellStart"/>
        <w:r w:rsidRPr="00AA5F87">
          <w:rPr>
            <w:rStyle w:val="Hyperlink"/>
            <w:rFonts w:ascii="Arial" w:hAnsi="Arial" w:cs="Arial"/>
            <w:color w:val="auto"/>
            <w:lang/>
          </w:rPr>
          <w:t>Kentridge</w:t>
        </w:r>
        <w:proofErr w:type="spellEnd"/>
      </w:hyperlink>
      <w:r w:rsidRPr="00AA5F87">
        <w:rPr>
          <w:rFonts w:ascii="Arial" w:hAnsi="Arial" w:cs="Arial"/>
          <w:lang/>
        </w:rPr>
        <w:t xml:space="preserve"> QC. All nine judges accepted that the court had jurisdiction to consider whether the 1949 Act was </w:t>
      </w:r>
      <w:proofErr w:type="gramStart"/>
      <w:r w:rsidRPr="00AA5F87">
        <w:rPr>
          <w:rFonts w:ascii="Arial" w:hAnsi="Arial" w:cs="Arial"/>
          <w:lang/>
        </w:rPr>
        <w:t>valid  They</w:t>
      </w:r>
      <w:proofErr w:type="gramEnd"/>
      <w:r w:rsidRPr="00AA5F87">
        <w:rPr>
          <w:rFonts w:ascii="Arial" w:hAnsi="Arial" w:cs="Arial"/>
          <w:lang/>
        </w:rPr>
        <w:t xml:space="preserve"> looked to distinguish the case from that of </w:t>
      </w:r>
      <w:proofErr w:type="spellStart"/>
      <w:r w:rsidRPr="00AA5F87">
        <w:rPr>
          <w:rFonts w:ascii="Arial" w:hAnsi="Arial" w:cs="Arial"/>
          <w:i/>
          <w:iCs/>
          <w:lang/>
        </w:rPr>
        <w:t>Pickin</w:t>
      </w:r>
      <w:proofErr w:type="spellEnd"/>
      <w:r w:rsidRPr="00AA5F87">
        <w:rPr>
          <w:rFonts w:ascii="Arial" w:hAnsi="Arial" w:cs="Arial"/>
          <w:i/>
          <w:iCs/>
          <w:lang/>
        </w:rPr>
        <w:t xml:space="preserve"> v British Railways Board</w:t>
      </w:r>
      <w:r w:rsidRPr="00AA5F87">
        <w:rPr>
          <w:rFonts w:ascii="Arial" w:hAnsi="Arial" w:cs="Arial"/>
          <w:lang/>
        </w:rPr>
        <w:t>, where the unequivocal belief of the judges had been that "the courts in this country have no power to declare enacted law to be invalid". The judges believed that whereas </w:t>
      </w:r>
      <w:proofErr w:type="spellStart"/>
      <w:r w:rsidRPr="00AA5F87">
        <w:rPr>
          <w:rFonts w:ascii="Arial" w:hAnsi="Arial" w:cs="Arial"/>
          <w:i/>
          <w:iCs/>
          <w:lang/>
        </w:rPr>
        <w:t>Pickin</w:t>
      </w:r>
      <w:proofErr w:type="spellEnd"/>
      <w:r w:rsidRPr="00AA5F87">
        <w:rPr>
          <w:rFonts w:ascii="Arial" w:hAnsi="Arial" w:cs="Arial"/>
          <w:lang/>
        </w:rPr>
        <w:t> had challenged the inner workings of Parliament, which a court could not do, </w:t>
      </w:r>
      <w:r w:rsidRPr="00AA5F87">
        <w:rPr>
          <w:rFonts w:ascii="Arial" w:hAnsi="Arial" w:cs="Arial"/>
          <w:i/>
          <w:iCs/>
          <w:lang/>
        </w:rPr>
        <w:t>Jackson</w:t>
      </w:r>
      <w:r w:rsidRPr="00AA5F87">
        <w:rPr>
          <w:rFonts w:ascii="Arial" w:hAnsi="Arial" w:cs="Arial"/>
          <w:lang/>
        </w:rPr>
        <w:t> questioned the interpretation of a statute.</w:t>
      </w:r>
    </w:p>
    <w:p w:rsidR="0061370B" w:rsidRPr="00AA5F87" w:rsidRDefault="0061370B" w:rsidP="00AA5F87">
      <w:pPr>
        <w:rPr>
          <w:rFonts w:cs="Arial"/>
          <w:lang/>
        </w:rPr>
      </w:pPr>
      <w:r w:rsidRPr="00AA5F87">
        <w:rPr>
          <w:rStyle w:val="mw-headline"/>
          <w:rFonts w:ascii="Georgia" w:hAnsi="Georgia" w:cs="Arial"/>
          <w:b/>
          <w:bCs/>
          <w:lang/>
        </w:rPr>
        <w:t>See also</w:t>
      </w:r>
    </w:p>
    <w:p w:rsidR="0061370B" w:rsidRPr="00AA5F87" w:rsidRDefault="0061370B" w:rsidP="00AA5F87">
      <w:pPr>
        <w:rPr>
          <w:rFonts w:ascii="Arial" w:hAnsi="Arial" w:cs="Arial"/>
          <w:lang/>
        </w:rPr>
      </w:pPr>
      <w:hyperlink r:id="rId104" w:tooltip="Separation of powers in the United Kingdom" w:history="1">
        <w:r w:rsidRPr="00AA5F87">
          <w:rPr>
            <w:rStyle w:val="Hyperlink"/>
            <w:rFonts w:ascii="Arial" w:hAnsi="Arial" w:cs="Arial"/>
            <w:color w:val="auto"/>
            <w:lang/>
          </w:rPr>
          <w:t>Separation of powers in the United Kingdom</w:t>
        </w:r>
      </w:hyperlink>
    </w:p>
    <w:p w:rsidR="0061370B" w:rsidRPr="00AA5F87" w:rsidRDefault="0061370B" w:rsidP="00AA5F87">
      <w:pPr>
        <w:rPr>
          <w:rFonts w:ascii="Arial" w:hAnsi="Arial" w:cs="Arial"/>
          <w:lang/>
        </w:rPr>
      </w:pPr>
      <w:hyperlink r:id="rId105" w:tooltip="Rule of law in the United Kingdom" w:history="1">
        <w:r w:rsidRPr="00AA5F87">
          <w:rPr>
            <w:rStyle w:val="Hyperlink"/>
            <w:rFonts w:ascii="Arial" w:hAnsi="Arial" w:cs="Arial"/>
            <w:color w:val="auto"/>
            <w:lang/>
          </w:rPr>
          <w:t>Rule of law in the United Kingdom</w:t>
        </w:r>
      </w:hyperlink>
    </w:p>
    <w:p w:rsidR="0061370B" w:rsidRPr="00AA5F87" w:rsidRDefault="0061370B" w:rsidP="00AA5F87">
      <w:pPr>
        <w:rPr>
          <w:rFonts w:cs="Arial"/>
          <w:lang/>
        </w:rPr>
      </w:pPr>
      <w:r w:rsidRPr="00AA5F87">
        <w:rPr>
          <w:rStyle w:val="mw-headline"/>
          <w:rFonts w:ascii="Georgia" w:hAnsi="Georgia" w:cs="Arial"/>
          <w:b/>
          <w:bCs/>
          <w:lang/>
        </w:rPr>
        <w:t>References</w:t>
      </w:r>
    </w:p>
    <w:p w:rsidR="0061370B" w:rsidRPr="00AA5F87" w:rsidRDefault="0061370B" w:rsidP="00AA5F87">
      <w:pPr>
        <w:rPr>
          <w:rFonts w:ascii="Arial" w:hAnsi="Arial" w:cs="Arial"/>
          <w:sz w:val="29"/>
          <w:szCs w:val="29"/>
          <w:lang/>
        </w:rPr>
      </w:pPr>
      <w:r w:rsidRPr="00AA5F87">
        <w:rPr>
          <w:rStyle w:val="mw-headline"/>
          <w:rFonts w:ascii="Arial" w:hAnsi="Arial" w:cs="Arial"/>
          <w:sz w:val="29"/>
          <w:szCs w:val="29"/>
          <w:lang/>
        </w:rPr>
        <w:t>Citations</w:t>
      </w:r>
    </w:p>
    <w:p w:rsidR="0061370B" w:rsidRPr="00AA5F87" w:rsidRDefault="0061370B" w:rsidP="00AA5F87">
      <w:pPr>
        <w:rPr>
          <w:rFonts w:ascii="Arial" w:hAnsi="Arial" w:cs="Arial"/>
          <w:sz w:val="19"/>
          <w:szCs w:val="19"/>
          <w:lang/>
        </w:rPr>
      </w:pPr>
      <w:r w:rsidRPr="00AA5F87">
        <w:rPr>
          <w:rStyle w:val="mw-cite-backlink"/>
          <w:rFonts w:ascii="Arial" w:hAnsi="Arial" w:cs="Arial"/>
          <w:sz w:val="19"/>
          <w:szCs w:val="19"/>
          <w:lang/>
        </w:rPr>
        <w:t>^ </w:t>
      </w:r>
      <w:hyperlink r:id="rId106" w:anchor="cite_ref-bradley51_1-0" w:history="1">
        <w:r w:rsidRPr="00AA5F87">
          <w:rPr>
            <w:rStyle w:val="cite-accessibility-label"/>
            <w:rFonts w:ascii="Arial" w:hAnsi="Arial" w:cs="Arial"/>
            <w:sz w:val="19"/>
            <w:szCs w:val="19"/>
            <w:lang/>
          </w:rPr>
          <w:t xml:space="preserve">Jump up </w:t>
        </w:r>
        <w:proofErr w:type="spellStart"/>
        <w:r w:rsidRPr="00AA5F87">
          <w:rPr>
            <w:rStyle w:val="cite-accessibility-label"/>
            <w:rFonts w:ascii="Arial" w:hAnsi="Arial" w:cs="Arial"/>
            <w:sz w:val="19"/>
            <w:szCs w:val="19"/>
            <w:lang/>
          </w:rPr>
          <w:t>to</w:t>
        </w:r>
        <w:proofErr w:type="gramStart"/>
        <w:r w:rsidRPr="00AA5F87">
          <w:rPr>
            <w:rStyle w:val="cite-accessibility-label"/>
            <w:rFonts w:ascii="Arial" w:hAnsi="Arial" w:cs="Arial"/>
            <w:sz w:val="19"/>
            <w:szCs w:val="19"/>
            <w:lang/>
          </w:rPr>
          <w:t>:</w:t>
        </w:r>
        <w:r w:rsidRPr="00AA5F87">
          <w:rPr>
            <w:rStyle w:val="Hyperlink"/>
            <w:rFonts w:ascii="Arial" w:hAnsi="Arial" w:cs="Arial"/>
            <w:b/>
            <w:bCs/>
            <w:i/>
            <w:iCs/>
            <w:color w:val="auto"/>
            <w:sz w:val="15"/>
            <w:szCs w:val="15"/>
            <w:vertAlign w:val="superscript"/>
            <w:lang/>
          </w:rPr>
          <w:t>a</w:t>
        </w:r>
        <w:proofErr w:type="spellEnd"/>
        <w:proofErr w:type="gramEnd"/>
      </w:hyperlink>
      <w:r w:rsidRPr="00AA5F87">
        <w:rPr>
          <w:rStyle w:val="mw-cite-backlink"/>
          <w:rFonts w:ascii="Arial" w:hAnsi="Arial" w:cs="Arial"/>
          <w:sz w:val="19"/>
          <w:szCs w:val="19"/>
          <w:lang/>
        </w:rPr>
        <w:t> </w:t>
      </w:r>
      <w:hyperlink r:id="rId107" w:anchor="cite_ref-bradley51_1-1" w:history="1">
        <w:r w:rsidRPr="00AA5F87">
          <w:rPr>
            <w:rStyle w:val="Hyperlink"/>
            <w:rFonts w:ascii="Arial" w:hAnsi="Arial" w:cs="Arial"/>
            <w:b/>
            <w:bCs/>
            <w:i/>
            <w:iCs/>
            <w:color w:val="auto"/>
            <w:sz w:val="15"/>
            <w:szCs w:val="15"/>
            <w:vertAlign w:val="superscript"/>
            <w:lang/>
          </w:rPr>
          <w:t>b</w:t>
        </w:r>
      </w:hyperlink>
      <w:r w:rsidRPr="00AA5F87">
        <w:rPr>
          <w:rFonts w:ascii="Arial" w:hAnsi="Arial" w:cs="Arial"/>
          <w:sz w:val="19"/>
          <w:szCs w:val="19"/>
          <w:lang/>
        </w:rPr>
        <w:t> </w:t>
      </w:r>
      <w:r w:rsidRPr="00AA5F87">
        <w:rPr>
          <w:rStyle w:val="reference-text"/>
          <w:rFonts w:ascii="Arial" w:hAnsi="Arial" w:cs="Arial"/>
          <w:sz w:val="19"/>
          <w:szCs w:val="19"/>
          <w:lang/>
        </w:rPr>
        <w:t xml:space="preserve">Bradley, Ewing (2007). </w:t>
      </w:r>
      <w:proofErr w:type="gramStart"/>
      <w:r w:rsidRPr="00AA5F87">
        <w:rPr>
          <w:rStyle w:val="reference-text"/>
          <w:rFonts w:ascii="Arial" w:hAnsi="Arial" w:cs="Arial"/>
          <w:sz w:val="19"/>
          <w:szCs w:val="19"/>
          <w:lang/>
        </w:rPr>
        <w:t>p. 51.</w:t>
      </w:r>
      <w:proofErr w:type="gramEnd"/>
    </w:p>
    <w:p w:rsidR="0061370B" w:rsidRPr="00AA5F87" w:rsidRDefault="0061370B" w:rsidP="00AA5F87">
      <w:pPr>
        <w:rPr>
          <w:rFonts w:ascii="Arial" w:hAnsi="Arial" w:cs="Arial"/>
          <w:sz w:val="19"/>
          <w:szCs w:val="19"/>
          <w:lang/>
        </w:rPr>
      </w:pPr>
      <w:hyperlink r:id="rId108" w:anchor="cite_ref-2" w:tooltip="Jump up" w:history="1">
        <w:r w:rsidRPr="00AA5F87">
          <w:rPr>
            <w:rStyle w:val="Hyperlink"/>
            <w:rFonts w:ascii="Arial" w:hAnsi="Arial" w:cs="Arial"/>
            <w:b/>
            <w:bCs/>
            <w:color w:val="auto"/>
            <w:sz w:val="19"/>
            <w:szCs w:val="19"/>
            <w:lang/>
          </w:rPr>
          <w:t>^</w:t>
        </w:r>
      </w:hyperlink>
      <w:r w:rsidRPr="00AA5F87">
        <w:rPr>
          <w:rFonts w:ascii="Arial" w:hAnsi="Arial" w:cs="Arial"/>
          <w:sz w:val="19"/>
          <w:szCs w:val="19"/>
          <w:lang/>
        </w:rPr>
        <w:t> </w:t>
      </w:r>
      <w:r w:rsidRPr="00AA5F87">
        <w:rPr>
          <w:rStyle w:val="reference-text"/>
          <w:rFonts w:ascii="Arial" w:hAnsi="Arial" w:cs="Arial"/>
          <w:sz w:val="19"/>
          <w:szCs w:val="19"/>
          <w:lang/>
        </w:rPr>
        <w:t xml:space="preserve">Bradley in </w:t>
      </w:r>
      <w:proofErr w:type="spellStart"/>
      <w:r w:rsidRPr="00AA5F87">
        <w:rPr>
          <w:rStyle w:val="reference-text"/>
          <w:rFonts w:ascii="Arial" w:hAnsi="Arial" w:cs="Arial"/>
          <w:sz w:val="19"/>
          <w:szCs w:val="19"/>
          <w:lang/>
        </w:rPr>
        <w:t>Jowell</w:t>
      </w:r>
      <w:proofErr w:type="spellEnd"/>
      <w:r w:rsidRPr="00AA5F87">
        <w:rPr>
          <w:rStyle w:val="reference-text"/>
          <w:rFonts w:ascii="Arial" w:hAnsi="Arial" w:cs="Arial"/>
          <w:sz w:val="19"/>
          <w:szCs w:val="19"/>
          <w:lang/>
        </w:rPr>
        <w:t>, Oliver (</w:t>
      </w:r>
      <w:proofErr w:type="spellStart"/>
      <w:proofErr w:type="gramStart"/>
      <w:r w:rsidRPr="00AA5F87">
        <w:rPr>
          <w:rStyle w:val="reference-text"/>
          <w:rFonts w:ascii="Arial" w:hAnsi="Arial" w:cs="Arial"/>
          <w:sz w:val="19"/>
          <w:szCs w:val="19"/>
          <w:lang/>
        </w:rPr>
        <w:t>eds</w:t>
      </w:r>
      <w:proofErr w:type="spellEnd"/>
      <w:proofErr w:type="gramEnd"/>
      <w:r w:rsidRPr="00AA5F87">
        <w:rPr>
          <w:rStyle w:val="reference-text"/>
          <w:rFonts w:ascii="Arial" w:hAnsi="Arial" w:cs="Arial"/>
          <w:sz w:val="19"/>
          <w:szCs w:val="19"/>
          <w:lang/>
        </w:rPr>
        <w:t xml:space="preserve">). </w:t>
      </w:r>
      <w:proofErr w:type="gramStart"/>
      <w:r w:rsidRPr="00AA5F87">
        <w:rPr>
          <w:rStyle w:val="reference-text"/>
          <w:rFonts w:ascii="Arial" w:hAnsi="Arial" w:cs="Arial"/>
          <w:sz w:val="19"/>
          <w:szCs w:val="19"/>
          <w:lang/>
        </w:rPr>
        <w:t>p. 26.</w:t>
      </w:r>
      <w:proofErr w:type="gramEnd"/>
    </w:p>
    <w:p w:rsidR="0061370B" w:rsidRPr="00AA5F87" w:rsidRDefault="0061370B" w:rsidP="00AA5F87">
      <w:pPr>
        <w:rPr>
          <w:rFonts w:ascii="Arial" w:hAnsi="Arial" w:cs="Arial"/>
          <w:sz w:val="19"/>
          <w:szCs w:val="19"/>
          <w:lang/>
        </w:rPr>
      </w:pPr>
      <w:hyperlink r:id="rId109" w:anchor="cite_ref-3" w:tooltip="Jump up" w:history="1">
        <w:r w:rsidRPr="00AA5F87">
          <w:rPr>
            <w:rStyle w:val="Hyperlink"/>
            <w:rFonts w:ascii="Arial" w:hAnsi="Arial" w:cs="Arial"/>
            <w:b/>
            <w:bCs/>
            <w:color w:val="auto"/>
            <w:sz w:val="19"/>
            <w:szCs w:val="19"/>
            <w:lang/>
          </w:rPr>
          <w:t>^</w:t>
        </w:r>
      </w:hyperlink>
      <w:r w:rsidRPr="00AA5F87">
        <w:rPr>
          <w:rFonts w:ascii="Arial" w:hAnsi="Arial" w:cs="Arial"/>
          <w:sz w:val="19"/>
          <w:szCs w:val="19"/>
          <w:lang/>
        </w:rPr>
        <w:t> </w:t>
      </w:r>
      <w:r w:rsidRPr="00AA5F87">
        <w:rPr>
          <w:rStyle w:val="reference-text"/>
          <w:rFonts w:ascii="Arial" w:hAnsi="Arial" w:cs="Arial"/>
          <w:sz w:val="19"/>
          <w:szCs w:val="19"/>
          <w:lang/>
        </w:rPr>
        <w:t>Articles 17 and 18 of the Treaty of Union</w:t>
      </w:r>
    </w:p>
    <w:p w:rsidR="0061370B" w:rsidRPr="00AA5F87" w:rsidRDefault="0061370B" w:rsidP="00AA5F87">
      <w:pPr>
        <w:rPr>
          <w:rFonts w:ascii="Arial" w:hAnsi="Arial" w:cs="Arial"/>
          <w:sz w:val="19"/>
          <w:szCs w:val="19"/>
          <w:lang/>
        </w:rPr>
      </w:pPr>
      <w:r w:rsidRPr="00AA5F87">
        <w:rPr>
          <w:rStyle w:val="mw-cite-backlink"/>
          <w:rFonts w:ascii="Arial" w:hAnsi="Arial" w:cs="Arial"/>
          <w:sz w:val="19"/>
          <w:szCs w:val="19"/>
          <w:lang/>
        </w:rPr>
        <w:t>^ </w:t>
      </w:r>
      <w:hyperlink r:id="rId110" w:anchor="cite_ref-bradley55_4-0" w:history="1">
        <w:r w:rsidRPr="00AA5F87">
          <w:rPr>
            <w:rStyle w:val="cite-accessibility-label"/>
            <w:rFonts w:ascii="Arial" w:hAnsi="Arial" w:cs="Arial"/>
            <w:sz w:val="19"/>
            <w:szCs w:val="19"/>
            <w:lang/>
          </w:rPr>
          <w:t xml:space="preserve">Jump up </w:t>
        </w:r>
        <w:proofErr w:type="spellStart"/>
        <w:r w:rsidRPr="00AA5F87">
          <w:rPr>
            <w:rStyle w:val="cite-accessibility-label"/>
            <w:rFonts w:ascii="Arial" w:hAnsi="Arial" w:cs="Arial"/>
            <w:sz w:val="19"/>
            <w:szCs w:val="19"/>
            <w:lang/>
          </w:rPr>
          <w:t>to</w:t>
        </w:r>
        <w:proofErr w:type="gramStart"/>
        <w:r w:rsidRPr="00AA5F87">
          <w:rPr>
            <w:rStyle w:val="cite-accessibility-label"/>
            <w:rFonts w:ascii="Arial" w:hAnsi="Arial" w:cs="Arial"/>
            <w:sz w:val="19"/>
            <w:szCs w:val="19"/>
            <w:lang/>
          </w:rPr>
          <w:t>:</w:t>
        </w:r>
        <w:r w:rsidRPr="00AA5F87">
          <w:rPr>
            <w:rStyle w:val="Hyperlink"/>
            <w:rFonts w:ascii="Arial" w:hAnsi="Arial" w:cs="Arial"/>
            <w:b/>
            <w:bCs/>
            <w:i/>
            <w:iCs/>
            <w:color w:val="auto"/>
            <w:sz w:val="15"/>
            <w:szCs w:val="15"/>
            <w:vertAlign w:val="superscript"/>
            <w:lang/>
          </w:rPr>
          <w:t>a</w:t>
        </w:r>
        <w:proofErr w:type="spellEnd"/>
        <w:proofErr w:type="gramEnd"/>
      </w:hyperlink>
      <w:r w:rsidRPr="00AA5F87">
        <w:rPr>
          <w:rStyle w:val="mw-cite-backlink"/>
          <w:rFonts w:ascii="Arial" w:hAnsi="Arial" w:cs="Arial"/>
          <w:sz w:val="19"/>
          <w:szCs w:val="19"/>
          <w:lang/>
        </w:rPr>
        <w:t> </w:t>
      </w:r>
      <w:hyperlink r:id="rId111" w:anchor="cite_ref-bradley55_4-1" w:history="1">
        <w:r w:rsidRPr="00AA5F87">
          <w:rPr>
            <w:rStyle w:val="Hyperlink"/>
            <w:rFonts w:ascii="Arial" w:hAnsi="Arial" w:cs="Arial"/>
            <w:b/>
            <w:bCs/>
            <w:i/>
            <w:iCs/>
            <w:color w:val="auto"/>
            <w:sz w:val="15"/>
            <w:szCs w:val="15"/>
            <w:vertAlign w:val="superscript"/>
            <w:lang/>
          </w:rPr>
          <w:t>b</w:t>
        </w:r>
      </w:hyperlink>
      <w:r w:rsidRPr="00AA5F87">
        <w:rPr>
          <w:rFonts w:ascii="Arial" w:hAnsi="Arial" w:cs="Arial"/>
          <w:sz w:val="19"/>
          <w:szCs w:val="19"/>
          <w:lang/>
        </w:rPr>
        <w:t> </w:t>
      </w:r>
      <w:r w:rsidRPr="00AA5F87">
        <w:rPr>
          <w:rStyle w:val="reference-text"/>
          <w:rFonts w:ascii="Arial" w:hAnsi="Arial" w:cs="Arial"/>
          <w:sz w:val="19"/>
          <w:szCs w:val="19"/>
          <w:lang/>
        </w:rPr>
        <w:t xml:space="preserve">Bradley, Ewing (2007). </w:t>
      </w:r>
      <w:proofErr w:type="gramStart"/>
      <w:r w:rsidRPr="00AA5F87">
        <w:rPr>
          <w:rStyle w:val="reference-text"/>
          <w:rFonts w:ascii="Arial" w:hAnsi="Arial" w:cs="Arial"/>
          <w:sz w:val="19"/>
          <w:szCs w:val="19"/>
          <w:lang/>
        </w:rPr>
        <w:t>p. 55.</w:t>
      </w:r>
      <w:proofErr w:type="gramEnd"/>
    </w:p>
    <w:p w:rsidR="0061370B" w:rsidRPr="00AA5F87" w:rsidRDefault="0061370B" w:rsidP="00AA5F87">
      <w:pPr>
        <w:rPr>
          <w:rFonts w:ascii="Arial" w:hAnsi="Arial" w:cs="Arial"/>
          <w:sz w:val="19"/>
          <w:szCs w:val="19"/>
          <w:lang/>
        </w:rPr>
      </w:pPr>
      <w:hyperlink r:id="rId112" w:anchor="cite_ref-5" w:tooltip="Jump up" w:history="1">
        <w:r w:rsidRPr="00AA5F87">
          <w:rPr>
            <w:rStyle w:val="Hyperlink"/>
            <w:rFonts w:ascii="Arial" w:hAnsi="Arial" w:cs="Arial"/>
            <w:b/>
            <w:bCs/>
            <w:color w:val="auto"/>
            <w:sz w:val="19"/>
            <w:szCs w:val="19"/>
            <w:lang/>
          </w:rPr>
          <w:t>^</w:t>
        </w:r>
      </w:hyperlink>
      <w:r w:rsidRPr="00AA5F87">
        <w:rPr>
          <w:rFonts w:ascii="Arial" w:hAnsi="Arial" w:cs="Arial"/>
          <w:sz w:val="19"/>
          <w:szCs w:val="19"/>
          <w:lang/>
        </w:rPr>
        <w:t> </w:t>
      </w:r>
      <w:r w:rsidRPr="00AA5F87">
        <w:rPr>
          <w:rStyle w:val="reference-text"/>
          <w:rFonts w:ascii="Arial" w:hAnsi="Arial" w:cs="Arial"/>
          <w:sz w:val="19"/>
          <w:szCs w:val="19"/>
          <w:lang/>
        </w:rPr>
        <w:t xml:space="preserve">Bradley in </w:t>
      </w:r>
      <w:proofErr w:type="spellStart"/>
      <w:r w:rsidRPr="00AA5F87">
        <w:rPr>
          <w:rStyle w:val="reference-text"/>
          <w:rFonts w:ascii="Arial" w:hAnsi="Arial" w:cs="Arial"/>
          <w:sz w:val="19"/>
          <w:szCs w:val="19"/>
          <w:lang/>
        </w:rPr>
        <w:t>Jowell</w:t>
      </w:r>
      <w:proofErr w:type="spellEnd"/>
      <w:r w:rsidRPr="00AA5F87">
        <w:rPr>
          <w:rStyle w:val="reference-text"/>
          <w:rFonts w:ascii="Arial" w:hAnsi="Arial" w:cs="Arial"/>
          <w:sz w:val="19"/>
          <w:szCs w:val="19"/>
          <w:lang/>
        </w:rPr>
        <w:t>, Oliver (</w:t>
      </w:r>
      <w:proofErr w:type="spellStart"/>
      <w:proofErr w:type="gramStart"/>
      <w:r w:rsidRPr="00AA5F87">
        <w:rPr>
          <w:rStyle w:val="reference-text"/>
          <w:rFonts w:ascii="Arial" w:hAnsi="Arial" w:cs="Arial"/>
          <w:sz w:val="19"/>
          <w:szCs w:val="19"/>
          <w:lang/>
        </w:rPr>
        <w:t>eds</w:t>
      </w:r>
      <w:proofErr w:type="spellEnd"/>
      <w:proofErr w:type="gramEnd"/>
      <w:r w:rsidRPr="00AA5F87">
        <w:rPr>
          <w:rStyle w:val="reference-text"/>
          <w:rFonts w:ascii="Arial" w:hAnsi="Arial" w:cs="Arial"/>
          <w:sz w:val="19"/>
          <w:szCs w:val="19"/>
          <w:lang/>
        </w:rPr>
        <w:t>). pp. 26–27.</w:t>
      </w:r>
    </w:p>
    <w:p w:rsidR="0061370B" w:rsidRPr="00AA5F87" w:rsidRDefault="0061370B" w:rsidP="00AA5F87">
      <w:pPr>
        <w:rPr>
          <w:rFonts w:ascii="Arial" w:hAnsi="Arial" w:cs="Arial"/>
          <w:sz w:val="19"/>
          <w:szCs w:val="19"/>
          <w:lang/>
        </w:rPr>
      </w:pPr>
      <w:r w:rsidRPr="00AA5F87">
        <w:rPr>
          <w:rStyle w:val="mw-cite-backlink"/>
          <w:rFonts w:ascii="Arial" w:hAnsi="Arial" w:cs="Arial"/>
          <w:sz w:val="19"/>
          <w:szCs w:val="19"/>
          <w:lang/>
        </w:rPr>
        <w:t>^ </w:t>
      </w:r>
      <w:hyperlink r:id="rId113" w:anchor="cite_ref-bradley52_6-0" w:history="1">
        <w:r w:rsidRPr="00AA5F87">
          <w:rPr>
            <w:rStyle w:val="cite-accessibility-label"/>
            <w:rFonts w:ascii="Arial" w:hAnsi="Arial" w:cs="Arial"/>
            <w:sz w:val="19"/>
            <w:szCs w:val="19"/>
            <w:lang/>
          </w:rPr>
          <w:t xml:space="preserve">Jump up </w:t>
        </w:r>
        <w:proofErr w:type="spellStart"/>
        <w:r w:rsidRPr="00AA5F87">
          <w:rPr>
            <w:rStyle w:val="cite-accessibility-label"/>
            <w:rFonts w:ascii="Arial" w:hAnsi="Arial" w:cs="Arial"/>
            <w:sz w:val="19"/>
            <w:szCs w:val="19"/>
            <w:lang/>
          </w:rPr>
          <w:t>to</w:t>
        </w:r>
        <w:proofErr w:type="gramStart"/>
        <w:r w:rsidRPr="00AA5F87">
          <w:rPr>
            <w:rStyle w:val="cite-accessibility-label"/>
            <w:rFonts w:ascii="Arial" w:hAnsi="Arial" w:cs="Arial"/>
            <w:sz w:val="19"/>
            <w:szCs w:val="19"/>
            <w:lang/>
          </w:rPr>
          <w:t>:</w:t>
        </w:r>
        <w:r w:rsidRPr="00AA5F87">
          <w:rPr>
            <w:rStyle w:val="Hyperlink"/>
            <w:rFonts w:ascii="Arial" w:hAnsi="Arial" w:cs="Arial"/>
            <w:b/>
            <w:bCs/>
            <w:i/>
            <w:iCs/>
            <w:color w:val="auto"/>
            <w:sz w:val="15"/>
            <w:szCs w:val="15"/>
            <w:vertAlign w:val="superscript"/>
            <w:lang/>
          </w:rPr>
          <w:t>a</w:t>
        </w:r>
        <w:proofErr w:type="spellEnd"/>
        <w:proofErr w:type="gramEnd"/>
      </w:hyperlink>
      <w:r w:rsidRPr="00AA5F87">
        <w:rPr>
          <w:rStyle w:val="mw-cite-backlink"/>
          <w:rFonts w:ascii="Arial" w:hAnsi="Arial" w:cs="Arial"/>
          <w:sz w:val="19"/>
          <w:szCs w:val="19"/>
          <w:lang/>
        </w:rPr>
        <w:t> </w:t>
      </w:r>
      <w:hyperlink r:id="rId114" w:anchor="cite_ref-bradley52_6-1" w:history="1">
        <w:r w:rsidRPr="00AA5F87">
          <w:rPr>
            <w:rStyle w:val="Hyperlink"/>
            <w:rFonts w:ascii="Arial" w:hAnsi="Arial" w:cs="Arial"/>
            <w:b/>
            <w:bCs/>
            <w:i/>
            <w:iCs/>
            <w:color w:val="auto"/>
            <w:sz w:val="15"/>
            <w:szCs w:val="15"/>
            <w:vertAlign w:val="superscript"/>
            <w:lang/>
          </w:rPr>
          <w:t>b</w:t>
        </w:r>
      </w:hyperlink>
      <w:r w:rsidRPr="00AA5F87">
        <w:rPr>
          <w:rStyle w:val="mw-cite-backlink"/>
          <w:rFonts w:ascii="Arial" w:hAnsi="Arial" w:cs="Arial"/>
          <w:sz w:val="19"/>
          <w:szCs w:val="19"/>
          <w:lang/>
        </w:rPr>
        <w:t> </w:t>
      </w:r>
      <w:hyperlink r:id="rId115" w:anchor="cite_ref-bradley52_6-2" w:history="1">
        <w:r w:rsidRPr="00AA5F87">
          <w:rPr>
            <w:rStyle w:val="Hyperlink"/>
            <w:rFonts w:ascii="Arial" w:hAnsi="Arial" w:cs="Arial"/>
            <w:b/>
            <w:bCs/>
            <w:i/>
            <w:iCs/>
            <w:color w:val="auto"/>
            <w:sz w:val="15"/>
            <w:szCs w:val="15"/>
            <w:vertAlign w:val="superscript"/>
            <w:lang/>
          </w:rPr>
          <w:t>c</w:t>
        </w:r>
      </w:hyperlink>
      <w:r w:rsidRPr="00AA5F87">
        <w:rPr>
          <w:rFonts w:ascii="Arial" w:hAnsi="Arial" w:cs="Arial"/>
          <w:sz w:val="19"/>
          <w:szCs w:val="19"/>
          <w:lang/>
        </w:rPr>
        <w:t> </w:t>
      </w:r>
      <w:r w:rsidRPr="00AA5F87">
        <w:rPr>
          <w:rStyle w:val="reference-text"/>
          <w:rFonts w:ascii="Arial" w:hAnsi="Arial" w:cs="Arial"/>
          <w:sz w:val="19"/>
          <w:szCs w:val="19"/>
          <w:lang/>
        </w:rPr>
        <w:t xml:space="preserve">Bradley, Ewing (2007). </w:t>
      </w:r>
      <w:proofErr w:type="gramStart"/>
      <w:r w:rsidRPr="00AA5F87">
        <w:rPr>
          <w:rStyle w:val="reference-text"/>
          <w:rFonts w:ascii="Arial" w:hAnsi="Arial" w:cs="Arial"/>
          <w:sz w:val="19"/>
          <w:szCs w:val="19"/>
          <w:lang/>
        </w:rPr>
        <w:t>p. 52.</w:t>
      </w:r>
      <w:proofErr w:type="gramEnd"/>
    </w:p>
    <w:p w:rsidR="0061370B" w:rsidRPr="00AA5F87" w:rsidRDefault="0061370B" w:rsidP="00AA5F87">
      <w:pPr>
        <w:rPr>
          <w:rFonts w:ascii="Arial" w:hAnsi="Arial" w:cs="Arial"/>
          <w:sz w:val="19"/>
          <w:szCs w:val="19"/>
          <w:lang/>
        </w:rPr>
      </w:pPr>
      <w:r w:rsidRPr="00AA5F87">
        <w:rPr>
          <w:rStyle w:val="mw-cite-backlink"/>
          <w:rFonts w:ascii="Arial" w:hAnsi="Arial" w:cs="Arial"/>
          <w:sz w:val="19"/>
          <w:szCs w:val="19"/>
          <w:lang/>
        </w:rPr>
        <w:t>^ </w:t>
      </w:r>
      <w:hyperlink r:id="rId116" w:anchor="cite_ref-bradley53_7-0" w:history="1">
        <w:r w:rsidRPr="00AA5F87">
          <w:rPr>
            <w:rStyle w:val="cite-accessibility-label"/>
            <w:rFonts w:ascii="Arial" w:hAnsi="Arial" w:cs="Arial"/>
            <w:sz w:val="19"/>
            <w:szCs w:val="19"/>
            <w:lang/>
          </w:rPr>
          <w:t xml:space="preserve">Jump up </w:t>
        </w:r>
        <w:proofErr w:type="spellStart"/>
        <w:r w:rsidRPr="00AA5F87">
          <w:rPr>
            <w:rStyle w:val="cite-accessibility-label"/>
            <w:rFonts w:ascii="Arial" w:hAnsi="Arial" w:cs="Arial"/>
            <w:sz w:val="19"/>
            <w:szCs w:val="19"/>
            <w:lang/>
          </w:rPr>
          <w:t>to</w:t>
        </w:r>
        <w:proofErr w:type="gramStart"/>
        <w:r w:rsidRPr="00AA5F87">
          <w:rPr>
            <w:rStyle w:val="cite-accessibility-label"/>
            <w:rFonts w:ascii="Arial" w:hAnsi="Arial" w:cs="Arial"/>
            <w:sz w:val="19"/>
            <w:szCs w:val="19"/>
            <w:lang/>
          </w:rPr>
          <w:t>:</w:t>
        </w:r>
        <w:r w:rsidRPr="00AA5F87">
          <w:rPr>
            <w:rStyle w:val="Hyperlink"/>
            <w:rFonts w:ascii="Arial" w:hAnsi="Arial" w:cs="Arial"/>
            <w:b/>
            <w:bCs/>
            <w:i/>
            <w:iCs/>
            <w:color w:val="auto"/>
            <w:sz w:val="15"/>
            <w:szCs w:val="15"/>
            <w:vertAlign w:val="superscript"/>
            <w:lang/>
          </w:rPr>
          <w:t>a</w:t>
        </w:r>
        <w:proofErr w:type="spellEnd"/>
        <w:proofErr w:type="gramEnd"/>
      </w:hyperlink>
      <w:r w:rsidRPr="00AA5F87">
        <w:rPr>
          <w:rStyle w:val="mw-cite-backlink"/>
          <w:rFonts w:ascii="Arial" w:hAnsi="Arial" w:cs="Arial"/>
          <w:sz w:val="19"/>
          <w:szCs w:val="19"/>
          <w:lang/>
        </w:rPr>
        <w:t> </w:t>
      </w:r>
      <w:hyperlink r:id="rId117" w:anchor="cite_ref-bradley53_7-1" w:history="1">
        <w:r w:rsidRPr="00AA5F87">
          <w:rPr>
            <w:rStyle w:val="Hyperlink"/>
            <w:rFonts w:ascii="Arial" w:hAnsi="Arial" w:cs="Arial"/>
            <w:b/>
            <w:bCs/>
            <w:i/>
            <w:iCs/>
            <w:color w:val="auto"/>
            <w:sz w:val="15"/>
            <w:szCs w:val="15"/>
            <w:vertAlign w:val="superscript"/>
            <w:lang/>
          </w:rPr>
          <w:t>b</w:t>
        </w:r>
      </w:hyperlink>
      <w:r w:rsidRPr="00AA5F87">
        <w:rPr>
          <w:rFonts w:ascii="Arial" w:hAnsi="Arial" w:cs="Arial"/>
          <w:sz w:val="19"/>
          <w:szCs w:val="19"/>
          <w:lang/>
        </w:rPr>
        <w:t> </w:t>
      </w:r>
      <w:r w:rsidRPr="00AA5F87">
        <w:rPr>
          <w:rStyle w:val="reference-text"/>
          <w:rFonts w:ascii="Arial" w:hAnsi="Arial" w:cs="Arial"/>
          <w:sz w:val="19"/>
          <w:szCs w:val="19"/>
          <w:lang/>
        </w:rPr>
        <w:t xml:space="preserve">Bradley, Ewing (2007). </w:t>
      </w:r>
      <w:proofErr w:type="gramStart"/>
      <w:r w:rsidRPr="00AA5F87">
        <w:rPr>
          <w:rStyle w:val="reference-text"/>
          <w:rFonts w:ascii="Arial" w:hAnsi="Arial" w:cs="Arial"/>
          <w:sz w:val="19"/>
          <w:szCs w:val="19"/>
          <w:lang/>
        </w:rPr>
        <w:t>p. 53.</w:t>
      </w:r>
      <w:proofErr w:type="gramEnd"/>
    </w:p>
    <w:p w:rsidR="0061370B" w:rsidRPr="00AA5F87" w:rsidRDefault="0061370B" w:rsidP="00AA5F87">
      <w:pPr>
        <w:rPr>
          <w:rFonts w:ascii="Arial" w:hAnsi="Arial" w:cs="Arial"/>
          <w:sz w:val="19"/>
          <w:szCs w:val="19"/>
          <w:lang/>
        </w:rPr>
      </w:pPr>
      <w:hyperlink r:id="rId118" w:anchor="cite_ref-bradley534_8-0" w:tooltip="Jump up" w:history="1">
        <w:r w:rsidRPr="00AA5F87">
          <w:rPr>
            <w:rStyle w:val="Hyperlink"/>
            <w:rFonts w:ascii="Arial" w:hAnsi="Arial" w:cs="Arial"/>
            <w:b/>
            <w:bCs/>
            <w:color w:val="auto"/>
            <w:sz w:val="19"/>
            <w:szCs w:val="19"/>
            <w:lang/>
          </w:rPr>
          <w:t>^</w:t>
        </w:r>
      </w:hyperlink>
      <w:r w:rsidRPr="00AA5F87">
        <w:rPr>
          <w:rFonts w:ascii="Arial" w:hAnsi="Arial" w:cs="Arial"/>
          <w:sz w:val="19"/>
          <w:szCs w:val="19"/>
          <w:lang/>
        </w:rPr>
        <w:t> </w:t>
      </w:r>
      <w:r w:rsidRPr="00AA5F87">
        <w:rPr>
          <w:rStyle w:val="reference-text"/>
          <w:rFonts w:ascii="Arial" w:hAnsi="Arial" w:cs="Arial"/>
          <w:sz w:val="19"/>
          <w:szCs w:val="19"/>
          <w:lang/>
        </w:rPr>
        <w:t>Bradley, Ewing (2007). pp. 53–54.</w:t>
      </w:r>
    </w:p>
    <w:p w:rsidR="0061370B" w:rsidRPr="00AA5F87" w:rsidRDefault="0061370B" w:rsidP="00AA5F87">
      <w:pPr>
        <w:rPr>
          <w:rFonts w:ascii="Arial" w:hAnsi="Arial" w:cs="Arial"/>
          <w:sz w:val="19"/>
          <w:szCs w:val="19"/>
          <w:lang/>
        </w:rPr>
      </w:pPr>
      <w:hyperlink r:id="rId119" w:anchor="cite_ref-9" w:tooltip="Jump up" w:history="1">
        <w:r w:rsidRPr="00AA5F87">
          <w:rPr>
            <w:rStyle w:val="Hyperlink"/>
            <w:rFonts w:ascii="Arial" w:hAnsi="Arial" w:cs="Arial"/>
            <w:b/>
            <w:bCs/>
            <w:color w:val="auto"/>
            <w:sz w:val="19"/>
            <w:szCs w:val="19"/>
            <w:lang/>
          </w:rPr>
          <w:t>^</w:t>
        </w:r>
      </w:hyperlink>
      <w:r w:rsidRPr="00AA5F87">
        <w:rPr>
          <w:rFonts w:ascii="Arial" w:hAnsi="Arial" w:cs="Arial"/>
          <w:sz w:val="19"/>
          <w:szCs w:val="19"/>
          <w:lang/>
        </w:rPr>
        <w:t> </w:t>
      </w:r>
      <w:r w:rsidRPr="00AA5F87">
        <w:rPr>
          <w:rStyle w:val="reference-text"/>
          <w:rFonts w:ascii="Arial" w:hAnsi="Arial" w:cs="Arial"/>
          <w:sz w:val="19"/>
          <w:szCs w:val="19"/>
          <w:lang/>
        </w:rPr>
        <w:t xml:space="preserve">Bradley in </w:t>
      </w:r>
      <w:proofErr w:type="spellStart"/>
      <w:r w:rsidRPr="00AA5F87">
        <w:rPr>
          <w:rStyle w:val="reference-text"/>
          <w:rFonts w:ascii="Arial" w:hAnsi="Arial" w:cs="Arial"/>
          <w:sz w:val="19"/>
          <w:szCs w:val="19"/>
          <w:lang/>
        </w:rPr>
        <w:t>Jowell</w:t>
      </w:r>
      <w:proofErr w:type="spellEnd"/>
      <w:r w:rsidRPr="00AA5F87">
        <w:rPr>
          <w:rStyle w:val="reference-text"/>
          <w:rFonts w:ascii="Arial" w:hAnsi="Arial" w:cs="Arial"/>
          <w:sz w:val="19"/>
          <w:szCs w:val="19"/>
          <w:lang/>
        </w:rPr>
        <w:t>, Oliver (</w:t>
      </w:r>
      <w:proofErr w:type="spellStart"/>
      <w:proofErr w:type="gramStart"/>
      <w:r w:rsidRPr="00AA5F87">
        <w:rPr>
          <w:rStyle w:val="reference-text"/>
          <w:rFonts w:ascii="Arial" w:hAnsi="Arial" w:cs="Arial"/>
          <w:sz w:val="19"/>
          <w:szCs w:val="19"/>
          <w:lang/>
        </w:rPr>
        <w:t>eds</w:t>
      </w:r>
      <w:proofErr w:type="spellEnd"/>
      <w:proofErr w:type="gramEnd"/>
      <w:r w:rsidRPr="00AA5F87">
        <w:rPr>
          <w:rStyle w:val="reference-text"/>
          <w:rFonts w:ascii="Arial" w:hAnsi="Arial" w:cs="Arial"/>
          <w:sz w:val="19"/>
          <w:szCs w:val="19"/>
          <w:lang/>
        </w:rPr>
        <w:t xml:space="preserve">). </w:t>
      </w:r>
      <w:proofErr w:type="gramStart"/>
      <w:r w:rsidRPr="00AA5F87">
        <w:rPr>
          <w:rStyle w:val="reference-text"/>
          <w:rFonts w:ascii="Arial" w:hAnsi="Arial" w:cs="Arial"/>
          <w:sz w:val="19"/>
          <w:szCs w:val="19"/>
          <w:lang/>
        </w:rPr>
        <w:t>p. 28.</w:t>
      </w:r>
      <w:proofErr w:type="gramEnd"/>
    </w:p>
    <w:p w:rsidR="0061370B" w:rsidRPr="00AA5F87" w:rsidRDefault="0061370B" w:rsidP="00AA5F87">
      <w:pPr>
        <w:rPr>
          <w:rFonts w:ascii="Arial" w:hAnsi="Arial" w:cs="Arial"/>
          <w:sz w:val="19"/>
          <w:szCs w:val="19"/>
          <w:lang/>
        </w:rPr>
      </w:pPr>
      <w:r w:rsidRPr="00AA5F87">
        <w:rPr>
          <w:rStyle w:val="mw-cite-backlink"/>
          <w:rFonts w:ascii="Arial" w:hAnsi="Arial" w:cs="Arial"/>
          <w:sz w:val="19"/>
          <w:szCs w:val="19"/>
          <w:lang/>
        </w:rPr>
        <w:t>^ </w:t>
      </w:r>
      <w:hyperlink r:id="rId120" w:anchor="cite_ref-bradley54_10-0" w:history="1">
        <w:r w:rsidRPr="00AA5F87">
          <w:rPr>
            <w:rStyle w:val="cite-accessibility-label"/>
            <w:rFonts w:ascii="Arial" w:hAnsi="Arial" w:cs="Arial"/>
            <w:sz w:val="19"/>
            <w:szCs w:val="19"/>
            <w:lang/>
          </w:rPr>
          <w:t xml:space="preserve">Jump up </w:t>
        </w:r>
        <w:proofErr w:type="spellStart"/>
        <w:r w:rsidRPr="00AA5F87">
          <w:rPr>
            <w:rStyle w:val="cite-accessibility-label"/>
            <w:rFonts w:ascii="Arial" w:hAnsi="Arial" w:cs="Arial"/>
            <w:sz w:val="19"/>
            <w:szCs w:val="19"/>
            <w:lang/>
          </w:rPr>
          <w:t>to</w:t>
        </w:r>
        <w:proofErr w:type="gramStart"/>
        <w:r w:rsidRPr="00AA5F87">
          <w:rPr>
            <w:rStyle w:val="cite-accessibility-label"/>
            <w:rFonts w:ascii="Arial" w:hAnsi="Arial" w:cs="Arial"/>
            <w:sz w:val="19"/>
            <w:szCs w:val="19"/>
            <w:lang/>
          </w:rPr>
          <w:t>:</w:t>
        </w:r>
        <w:r w:rsidRPr="00AA5F87">
          <w:rPr>
            <w:rStyle w:val="Hyperlink"/>
            <w:rFonts w:ascii="Arial" w:hAnsi="Arial" w:cs="Arial"/>
            <w:b/>
            <w:bCs/>
            <w:i/>
            <w:iCs/>
            <w:color w:val="auto"/>
            <w:sz w:val="15"/>
            <w:szCs w:val="15"/>
            <w:vertAlign w:val="superscript"/>
            <w:lang/>
          </w:rPr>
          <w:t>a</w:t>
        </w:r>
        <w:proofErr w:type="spellEnd"/>
        <w:proofErr w:type="gramEnd"/>
      </w:hyperlink>
      <w:r w:rsidRPr="00AA5F87">
        <w:rPr>
          <w:rStyle w:val="mw-cite-backlink"/>
          <w:rFonts w:ascii="Arial" w:hAnsi="Arial" w:cs="Arial"/>
          <w:sz w:val="19"/>
          <w:szCs w:val="19"/>
          <w:lang/>
        </w:rPr>
        <w:t> </w:t>
      </w:r>
      <w:hyperlink r:id="rId121" w:anchor="cite_ref-bradley54_10-1" w:history="1">
        <w:r w:rsidRPr="00AA5F87">
          <w:rPr>
            <w:rStyle w:val="Hyperlink"/>
            <w:rFonts w:ascii="Arial" w:hAnsi="Arial" w:cs="Arial"/>
            <w:b/>
            <w:bCs/>
            <w:i/>
            <w:iCs/>
            <w:color w:val="auto"/>
            <w:sz w:val="15"/>
            <w:szCs w:val="15"/>
            <w:vertAlign w:val="superscript"/>
            <w:lang/>
          </w:rPr>
          <w:t>b</w:t>
        </w:r>
      </w:hyperlink>
      <w:r w:rsidRPr="00AA5F87">
        <w:rPr>
          <w:rFonts w:ascii="Arial" w:hAnsi="Arial" w:cs="Arial"/>
          <w:sz w:val="19"/>
          <w:szCs w:val="19"/>
          <w:lang/>
        </w:rPr>
        <w:t> </w:t>
      </w:r>
      <w:r w:rsidRPr="00AA5F87">
        <w:rPr>
          <w:rStyle w:val="reference-text"/>
          <w:rFonts w:ascii="Arial" w:hAnsi="Arial" w:cs="Arial"/>
          <w:sz w:val="19"/>
          <w:szCs w:val="19"/>
          <w:lang/>
        </w:rPr>
        <w:t xml:space="preserve">Bradley, Ewing (2007). </w:t>
      </w:r>
      <w:proofErr w:type="gramStart"/>
      <w:r w:rsidRPr="00AA5F87">
        <w:rPr>
          <w:rStyle w:val="reference-text"/>
          <w:rFonts w:ascii="Arial" w:hAnsi="Arial" w:cs="Arial"/>
          <w:sz w:val="19"/>
          <w:szCs w:val="19"/>
          <w:lang/>
        </w:rPr>
        <w:t>p. 54.</w:t>
      </w:r>
      <w:proofErr w:type="gramEnd"/>
    </w:p>
    <w:sectPr w:rsidR="0061370B" w:rsidRPr="00AA5F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1A5E"/>
    <w:multiLevelType w:val="multilevel"/>
    <w:tmpl w:val="9C0E51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3A2E10"/>
    <w:multiLevelType w:val="multilevel"/>
    <w:tmpl w:val="91ACF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6E736B"/>
    <w:multiLevelType w:val="multilevel"/>
    <w:tmpl w:val="21BCB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A18EA"/>
    <w:rsid w:val="002A18EA"/>
    <w:rsid w:val="0061370B"/>
    <w:rsid w:val="00AA5F87"/>
    <w:rsid w:val="00F70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137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37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370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2A18E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A18EA"/>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A1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37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37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1370B"/>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61370B"/>
    <w:rPr>
      <w:color w:val="0000FF"/>
      <w:u w:val="single"/>
    </w:rPr>
  </w:style>
  <w:style w:type="character" w:styleId="FollowedHyperlink">
    <w:name w:val="FollowedHyperlink"/>
    <w:basedOn w:val="DefaultParagraphFont"/>
    <w:uiPriority w:val="99"/>
    <w:semiHidden/>
    <w:unhideWhenUsed/>
    <w:rsid w:val="0061370B"/>
    <w:rPr>
      <w:color w:val="800080"/>
      <w:u w:val="single"/>
    </w:rPr>
  </w:style>
  <w:style w:type="character" w:customStyle="1" w:styleId="toctogglespan">
    <w:name w:val="toctogglespan"/>
    <w:basedOn w:val="DefaultParagraphFont"/>
    <w:rsid w:val="0061370B"/>
  </w:style>
  <w:style w:type="character" w:customStyle="1" w:styleId="tocnumber">
    <w:name w:val="tocnumber"/>
    <w:basedOn w:val="DefaultParagraphFont"/>
    <w:rsid w:val="0061370B"/>
  </w:style>
  <w:style w:type="character" w:customStyle="1" w:styleId="toctext">
    <w:name w:val="toctext"/>
    <w:basedOn w:val="DefaultParagraphFont"/>
    <w:rsid w:val="0061370B"/>
  </w:style>
  <w:style w:type="character" w:customStyle="1" w:styleId="mw-headline">
    <w:name w:val="mw-headline"/>
    <w:basedOn w:val="DefaultParagraphFont"/>
    <w:rsid w:val="0061370B"/>
  </w:style>
  <w:style w:type="character" w:customStyle="1" w:styleId="mw-editsection">
    <w:name w:val="mw-editsection"/>
    <w:basedOn w:val="DefaultParagraphFont"/>
    <w:rsid w:val="0061370B"/>
  </w:style>
  <w:style w:type="character" w:customStyle="1" w:styleId="mw-editsection-bracket">
    <w:name w:val="mw-editsection-bracket"/>
    <w:basedOn w:val="DefaultParagraphFont"/>
    <w:rsid w:val="0061370B"/>
  </w:style>
  <w:style w:type="character" w:customStyle="1" w:styleId="mw-cite-backlink">
    <w:name w:val="mw-cite-backlink"/>
    <w:basedOn w:val="DefaultParagraphFont"/>
    <w:rsid w:val="0061370B"/>
  </w:style>
  <w:style w:type="character" w:customStyle="1" w:styleId="cite-accessibility-label">
    <w:name w:val="cite-accessibility-label"/>
    <w:basedOn w:val="DefaultParagraphFont"/>
    <w:rsid w:val="0061370B"/>
  </w:style>
  <w:style w:type="character" w:customStyle="1" w:styleId="reference-text">
    <w:name w:val="reference-text"/>
    <w:basedOn w:val="DefaultParagraphFont"/>
    <w:rsid w:val="0061370B"/>
  </w:style>
  <w:style w:type="character" w:styleId="HTMLCite">
    <w:name w:val="HTML Cite"/>
    <w:basedOn w:val="DefaultParagraphFont"/>
    <w:uiPriority w:val="99"/>
    <w:semiHidden/>
    <w:unhideWhenUsed/>
    <w:rsid w:val="0061370B"/>
    <w:rPr>
      <w:i/>
      <w:iCs/>
    </w:rPr>
  </w:style>
  <w:style w:type="character" w:customStyle="1" w:styleId="z3988">
    <w:name w:val="z3988"/>
    <w:basedOn w:val="DefaultParagraphFont"/>
    <w:rsid w:val="0061370B"/>
  </w:style>
  <w:style w:type="character" w:customStyle="1" w:styleId="cs1-format">
    <w:name w:val="cs1-format"/>
    <w:basedOn w:val="DefaultParagraphFont"/>
    <w:rsid w:val="0061370B"/>
  </w:style>
  <w:style w:type="character" w:customStyle="1" w:styleId="reference-accessdate">
    <w:name w:val="reference-accessdate"/>
    <w:basedOn w:val="DefaultParagraphFont"/>
    <w:rsid w:val="0061370B"/>
  </w:style>
  <w:style w:type="character" w:customStyle="1" w:styleId="nowrap">
    <w:name w:val="nowrap"/>
    <w:basedOn w:val="DefaultParagraphFont"/>
    <w:rsid w:val="0061370B"/>
  </w:style>
</w:styles>
</file>

<file path=word/webSettings.xml><?xml version="1.0" encoding="utf-8"?>
<w:webSettings xmlns:r="http://schemas.openxmlformats.org/officeDocument/2006/relationships" xmlns:w="http://schemas.openxmlformats.org/wordprocessingml/2006/main">
  <w:divs>
    <w:div w:id="390689081">
      <w:bodyDiv w:val="1"/>
      <w:marLeft w:val="0"/>
      <w:marRight w:val="0"/>
      <w:marTop w:val="0"/>
      <w:marBottom w:val="0"/>
      <w:divBdr>
        <w:top w:val="none" w:sz="0" w:space="0" w:color="auto"/>
        <w:left w:val="none" w:sz="0" w:space="0" w:color="auto"/>
        <w:bottom w:val="none" w:sz="0" w:space="0" w:color="auto"/>
        <w:right w:val="none" w:sz="0" w:space="0" w:color="auto"/>
      </w:divBdr>
    </w:div>
    <w:div w:id="403457508">
      <w:bodyDiv w:val="1"/>
      <w:marLeft w:val="0"/>
      <w:marRight w:val="0"/>
      <w:marTop w:val="0"/>
      <w:marBottom w:val="0"/>
      <w:divBdr>
        <w:top w:val="none" w:sz="0" w:space="0" w:color="auto"/>
        <w:left w:val="none" w:sz="0" w:space="0" w:color="auto"/>
        <w:bottom w:val="none" w:sz="0" w:space="0" w:color="auto"/>
        <w:right w:val="none" w:sz="0" w:space="0" w:color="auto"/>
      </w:divBdr>
      <w:divsChild>
        <w:div w:id="1047989189">
          <w:marLeft w:val="0"/>
          <w:marRight w:val="0"/>
          <w:marTop w:val="0"/>
          <w:marBottom w:val="0"/>
          <w:divBdr>
            <w:top w:val="none" w:sz="0" w:space="0" w:color="auto"/>
            <w:left w:val="none" w:sz="0" w:space="0" w:color="auto"/>
            <w:bottom w:val="none" w:sz="0" w:space="0" w:color="auto"/>
            <w:right w:val="none" w:sz="0" w:space="0" w:color="auto"/>
          </w:divBdr>
          <w:divsChild>
            <w:div w:id="1932735741">
              <w:marLeft w:val="0"/>
              <w:marRight w:val="0"/>
              <w:marTop w:val="0"/>
              <w:marBottom w:val="0"/>
              <w:divBdr>
                <w:top w:val="none" w:sz="0" w:space="0" w:color="auto"/>
                <w:left w:val="none" w:sz="0" w:space="0" w:color="auto"/>
                <w:bottom w:val="none" w:sz="0" w:space="0" w:color="auto"/>
                <w:right w:val="none" w:sz="0" w:space="0" w:color="auto"/>
              </w:divBdr>
            </w:div>
            <w:div w:id="1670986788">
              <w:marLeft w:val="0"/>
              <w:marRight w:val="0"/>
              <w:marTop w:val="0"/>
              <w:marBottom w:val="0"/>
              <w:divBdr>
                <w:top w:val="none" w:sz="0" w:space="0" w:color="auto"/>
                <w:left w:val="none" w:sz="0" w:space="0" w:color="auto"/>
                <w:bottom w:val="none" w:sz="0" w:space="0" w:color="auto"/>
                <w:right w:val="none" w:sz="0" w:space="0" w:color="auto"/>
              </w:divBdr>
              <w:divsChild>
                <w:div w:id="1564757193">
                  <w:marLeft w:val="0"/>
                  <w:marRight w:val="0"/>
                  <w:marTop w:val="0"/>
                  <w:marBottom w:val="0"/>
                  <w:divBdr>
                    <w:top w:val="none" w:sz="0" w:space="0" w:color="auto"/>
                    <w:left w:val="none" w:sz="0" w:space="0" w:color="auto"/>
                    <w:bottom w:val="none" w:sz="0" w:space="0" w:color="auto"/>
                    <w:right w:val="none" w:sz="0" w:space="0" w:color="auto"/>
                  </w:divBdr>
                  <w:divsChild>
                    <w:div w:id="1437485037">
                      <w:marLeft w:val="0"/>
                      <w:marRight w:val="0"/>
                      <w:marTop w:val="0"/>
                      <w:marBottom w:val="0"/>
                      <w:divBdr>
                        <w:top w:val="single" w:sz="6" w:space="5" w:color="A2A9B1"/>
                        <w:left w:val="single" w:sz="6" w:space="5" w:color="A2A9B1"/>
                        <w:bottom w:val="single" w:sz="6" w:space="5" w:color="A2A9B1"/>
                        <w:right w:val="single" w:sz="6" w:space="5" w:color="A2A9B1"/>
                      </w:divBdr>
                    </w:div>
                    <w:div w:id="1520435611">
                      <w:marLeft w:val="0"/>
                      <w:marRight w:val="0"/>
                      <w:marTop w:val="0"/>
                      <w:marBottom w:val="120"/>
                      <w:divBdr>
                        <w:top w:val="none" w:sz="0" w:space="0" w:color="auto"/>
                        <w:left w:val="none" w:sz="0" w:space="0" w:color="auto"/>
                        <w:bottom w:val="none" w:sz="0" w:space="0" w:color="auto"/>
                        <w:right w:val="none" w:sz="0" w:space="0" w:color="auto"/>
                      </w:divBdr>
                    </w:div>
                    <w:div w:id="92170530">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Parliamentary_sovereignty_in_the_United_Kingdom" TargetMode="External"/><Relationship Id="rId117" Type="http://schemas.openxmlformats.org/officeDocument/2006/relationships/hyperlink" Target="https://en.wikipedia.org/wiki/Parliamentary_sovereignty_in_the_United_Kingdom" TargetMode="External"/><Relationship Id="rId21" Type="http://schemas.openxmlformats.org/officeDocument/2006/relationships/hyperlink" Target="https://en.wikipedia.org/wiki/Houses_of_Parliament" TargetMode="External"/><Relationship Id="rId42" Type="http://schemas.openxmlformats.org/officeDocument/2006/relationships/hyperlink" Target="https://en.wikipedia.org/wiki/Chief_Justice" TargetMode="External"/><Relationship Id="rId47" Type="http://schemas.openxmlformats.org/officeDocument/2006/relationships/hyperlink" Target="https://en.wikipedia.org/wiki/Stuart_period" TargetMode="External"/><Relationship Id="rId63" Type="http://schemas.openxmlformats.org/officeDocument/2006/relationships/hyperlink" Target="https://en.wikipedia.org/wiki/Royal_assent" TargetMode="External"/><Relationship Id="rId68" Type="http://schemas.openxmlformats.org/officeDocument/2006/relationships/hyperlink" Target="https://en.wikipedia.org/wiki/Act_of_Parliament" TargetMode="External"/><Relationship Id="rId84" Type="http://schemas.openxmlformats.org/officeDocument/2006/relationships/hyperlink" Target="https://en.wikipedia.org/wiki/European_Economic_Community" TargetMode="External"/><Relationship Id="rId89" Type="http://schemas.openxmlformats.org/officeDocument/2006/relationships/hyperlink" Target="https://en.wikipedia.org/wiki/Merchant_Shipping_Act_1988" TargetMode="External"/><Relationship Id="rId112" Type="http://schemas.openxmlformats.org/officeDocument/2006/relationships/hyperlink" Target="https://en.wikipedia.org/wiki/Parliamentary_sovereignty_in_the_United_Kingdom" TargetMode="External"/><Relationship Id="rId16" Type="http://schemas.openxmlformats.org/officeDocument/2006/relationships/hyperlink" Target="https://en.wikipedia.org/wiki/Human_Rights_Act_1998" TargetMode="External"/><Relationship Id="rId107" Type="http://schemas.openxmlformats.org/officeDocument/2006/relationships/hyperlink" Target="https://en.wikipedia.org/wiki/Parliamentary_sovereignty_in_the_United_Kingdom" TargetMode="External"/><Relationship Id="rId11" Type="http://schemas.openxmlformats.org/officeDocument/2006/relationships/hyperlink" Target="https://en.wikipedia.org/wiki/Codified_constitution" TargetMode="External"/><Relationship Id="rId32" Type="http://schemas.openxmlformats.org/officeDocument/2006/relationships/hyperlink" Target="https://en.wikipedia.org/wiki/Parliamentary_sovereignty_in_the_United_Kingdom" TargetMode="External"/><Relationship Id="rId37" Type="http://schemas.openxmlformats.org/officeDocument/2006/relationships/hyperlink" Target="https://en.wikipedia.org/wiki/Statute_of_Proclamations" TargetMode="External"/><Relationship Id="rId53" Type="http://schemas.openxmlformats.org/officeDocument/2006/relationships/hyperlink" Target="https://en.wikipedia.org/wiki/Glorious_Revolution" TargetMode="External"/><Relationship Id="rId58" Type="http://schemas.openxmlformats.org/officeDocument/2006/relationships/hyperlink" Target="https://en.wikipedia.org/wiki/John_Salmond_(judge)" TargetMode="External"/><Relationship Id="rId74" Type="http://schemas.openxmlformats.org/officeDocument/2006/relationships/hyperlink" Target="https://en.wikipedia.org/wiki/English_law" TargetMode="External"/><Relationship Id="rId79" Type="http://schemas.openxmlformats.org/officeDocument/2006/relationships/hyperlink" Target="https://en.wikipedia.org/wiki/UK_government" TargetMode="External"/><Relationship Id="rId102" Type="http://schemas.openxmlformats.org/officeDocument/2006/relationships/hyperlink" Target="https://en.wikipedia.org/wiki/Parliament_Act_1949" TargetMode="External"/><Relationship Id="rId123" Type="http://schemas.openxmlformats.org/officeDocument/2006/relationships/theme" Target="theme/theme1.xml"/><Relationship Id="rId5" Type="http://schemas.openxmlformats.org/officeDocument/2006/relationships/hyperlink" Target="https://en.wikipedia.org/wiki/Parliamentary_sovereignty" TargetMode="External"/><Relationship Id="rId61" Type="http://schemas.openxmlformats.org/officeDocument/2006/relationships/hyperlink" Target="https://en.wikipedia.org/wiki/Protestant_Religion_and_Presbyterian_Church_Act_1707" TargetMode="External"/><Relationship Id="rId82" Type="http://schemas.openxmlformats.org/officeDocument/2006/relationships/hyperlink" Target="https://en.wikipedia.org/wiki/Parliament_Acts_1911_and_1949" TargetMode="External"/><Relationship Id="rId90" Type="http://schemas.openxmlformats.org/officeDocument/2006/relationships/hyperlink" Target="https://en.wikipedia.org/wiki/Crown_Proceedings_Act_1947" TargetMode="External"/><Relationship Id="rId95" Type="http://schemas.openxmlformats.org/officeDocument/2006/relationships/hyperlink" Target="https://en.wikipedia.org/wiki/European_Union_(Withdrawal)_Act_2018" TargetMode="External"/><Relationship Id="rId19" Type="http://schemas.openxmlformats.org/officeDocument/2006/relationships/hyperlink" Target="https://en.wikipedia.org/wiki/John_Austin_(legal_philosopher)" TargetMode="External"/><Relationship Id="rId14" Type="http://schemas.openxmlformats.org/officeDocument/2006/relationships/hyperlink" Target="https://en.wikipedia.org/wiki/Trevor_Allan_(legal_philosopher)" TargetMode="External"/><Relationship Id="rId22" Type="http://schemas.openxmlformats.org/officeDocument/2006/relationships/hyperlink" Target="https://en.wikipedia.org/wiki/House_of_Lords" TargetMode="External"/><Relationship Id="rId27" Type="http://schemas.openxmlformats.org/officeDocument/2006/relationships/hyperlink" Target="https://en.wikipedia.org/wiki/Parliamentary_sovereignty_in_the_United_Kingdom" TargetMode="External"/><Relationship Id="rId30" Type="http://schemas.openxmlformats.org/officeDocument/2006/relationships/hyperlink" Target="https://en.wikipedia.org/wiki/Parliamentary_sovereignty_in_the_United_Kingdom" TargetMode="External"/><Relationship Id="rId35" Type="http://schemas.openxmlformats.org/officeDocument/2006/relationships/hyperlink" Target="https://en.wikipedia.org/wiki/Parliamentary_sovereignty_in_the_United_Kingdom" TargetMode="External"/><Relationship Id="rId43" Type="http://schemas.openxmlformats.org/officeDocument/2006/relationships/hyperlink" Target="https://en.wikipedia.org/wiki/Edward_Coke" TargetMode="External"/><Relationship Id="rId48" Type="http://schemas.openxmlformats.org/officeDocument/2006/relationships/hyperlink" Target="https://en.wikipedia.org/wiki/Direct_taxation" TargetMode="External"/><Relationship Id="rId56" Type="http://schemas.openxmlformats.org/officeDocument/2006/relationships/hyperlink" Target="https://en.wikipedia.org/wiki/A._V._Dicey" TargetMode="External"/><Relationship Id="rId64" Type="http://schemas.openxmlformats.org/officeDocument/2006/relationships/hyperlink" Target="https://en.wikipedia.org/wiki/Reform_Act_1832" TargetMode="External"/><Relationship Id="rId69" Type="http://schemas.openxmlformats.org/officeDocument/2006/relationships/hyperlink" Target="https://en.wikipedia.org/wiki/Lord_President_of_the_Court_of_Session" TargetMode="External"/><Relationship Id="rId77" Type="http://schemas.openxmlformats.org/officeDocument/2006/relationships/hyperlink" Target="https://en.wikipedia.org/wiki/Nuclear_power" TargetMode="External"/><Relationship Id="rId100" Type="http://schemas.openxmlformats.org/officeDocument/2006/relationships/hyperlink" Target="https://en.wikipedia.org/wiki/Entrenched_legislation" TargetMode="External"/><Relationship Id="rId105" Type="http://schemas.openxmlformats.org/officeDocument/2006/relationships/hyperlink" Target="https://en.wikipedia.org/wiki/Rule_of_law_in_the_United_Kingdom" TargetMode="External"/><Relationship Id="rId113" Type="http://schemas.openxmlformats.org/officeDocument/2006/relationships/hyperlink" Target="https://en.wikipedia.org/wiki/Parliamentary_sovereignty_in_the_United_Kingdom" TargetMode="External"/><Relationship Id="rId118" Type="http://schemas.openxmlformats.org/officeDocument/2006/relationships/hyperlink" Target="https://en.wikipedia.org/wiki/Parliamentary_sovereignty_in_the_United_Kingdom" TargetMode="External"/><Relationship Id="rId8" Type="http://schemas.openxmlformats.org/officeDocument/2006/relationships/hyperlink" Target="https://en.wikipedia.org/wiki/Monarchy_of_the_United_Kingdom" TargetMode="External"/><Relationship Id="rId51" Type="http://schemas.openxmlformats.org/officeDocument/2006/relationships/hyperlink" Target="https://en.wikipedia.org/wiki/Bill_of_Rights_1689" TargetMode="External"/><Relationship Id="rId72" Type="http://schemas.openxmlformats.org/officeDocument/2006/relationships/hyperlink" Target="https://en.wikipedia.org/wiki/Court_of_Session" TargetMode="External"/><Relationship Id="rId80" Type="http://schemas.openxmlformats.org/officeDocument/2006/relationships/hyperlink" Target="https://en.wikipedia.org/wiki/Scottish_Parliament" TargetMode="External"/><Relationship Id="rId85" Type="http://schemas.openxmlformats.org/officeDocument/2006/relationships/hyperlink" Target="https://en.wikipedia.org/wiki/European_Union" TargetMode="External"/><Relationship Id="rId93" Type="http://schemas.openxmlformats.org/officeDocument/2006/relationships/hyperlink" Target="https://en.wikipedia.org/wiki/Trevor_Allan_(legal_philosopher)" TargetMode="External"/><Relationship Id="rId98" Type="http://schemas.openxmlformats.org/officeDocument/2006/relationships/hyperlink" Target="https://en.wikipedia.org/wiki/European_Convention_on_Human_Rights" TargetMode="External"/><Relationship Id="rId121" Type="http://schemas.openxmlformats.org/officeDocument/2006/relationships/hyperlink" Target="https://en.wikipedia.org/wiki/Parliamentary_sovereignty_in_the_United_Kingdom" TargetMode="External"/><Relationship Id="rId3" Type="http://schemas.openxmlformats.org/officeDocument/2006/relationships/settings" Target="settings.xml"/><Relationship Id="rId12" Type="http://schemas.openxmlformats.org/officeDocument/2006/relationships/hyperlink" Target="https://en.wikipedia.org/wiki/A._V._Dicey" TargetMode="External"/><Relationship Id="rId17" Type="http://schemas.openxmlformats.org/officeDocument/2006/relationships/hyperlink" Target="https://en.wikipedia.org/wiki/Entrenched_legislation" TargetMode="External"/><Relationship Id="rId25" Type="http://schemas.openxmlformats.org/officeDocument/2006/relationships/hyperlink" Target="https://en.wikipedia.org/wiki/Parliamentary_sovereignty_in_the_United_Kingdom" TargetMode="External"/><Relationship Id="rId33" Type="http://schemas.openxmlformats.org/officeDocument/2006/relationships/hyperlink" Target="https://en.wikipedia.org/wiki/Parliamentary_sovereignty_in_the_United_Kingdom" TargetMode="External"/><Relationship Id="rId38" Type="http://schemas.openxmlformats.org/officeDocument/2006/relationships/hyperlink" Target="https://en.wikipedia.org/wiki/Common_law" TargetMode="External"/><Relationship Id="rId46" Type="http://schemas.openxmlformats.org/officeDocument/2006/relationships/hyperlink" Target="https://en.wikipedia.org/wiki/Taxation" TargetMode="External"/><Relationship Id="rId59" Type="http://schemas.openxmlformats.org/officeDocument/2006/relationships/hyperlink" Target="https://en.wikipedia.org/wiki/Rules_of_order" TargetMode="External"/><Relationship Id="rId67" Type="http://schemas.openxmlformats.org/officeDocument/2006/relationships/hyperlink" Target="https://en.wikipedia.org/wiki/Acts_of_Union_1707" TargetMode="External"/><Relationship Id="rId103" Type="http://schemas.openxmlformats.org/officeDocument/2006/relationships/hyperlink" Target="https://en.wikipedia.org/wiki/Sir_Sydney_Kentridge" TargetMode="External"/><Relationship Id="rId108" Type="http://schemas.openxmlformats.org/officeDocument/2006/relationships/hyperlink" Target="https://en.wikipedia.org/wiki/Parliamentary_sovereignty_in_the_United_Kingdom" TargetMode="External"/><Relationship Id="rId116" Type="http://schemas.openxmlformats.org/officeDocument/2006/relationships/hyperlink" Target="https://en.wikipedia.org/wiki/Parliamentary_sovereignty_in_the_United_Kingdom" TargetMode="External"/><Relationship Id="rId20" Type="http://schemas.openxmlformats.org/officeDocument/2006/relationships/hyperlink" Target="https://en.wikipedia.org/wiki/House_of_Commons_(UK)" TargetMode="External"/><Relationship Id="rId41" Type="http://schemas.openxmlformats.org/officeDocument/2006/relationships/hyperlink" Target="https://en.wikipedia.org/wiki/Elizabeth_I_of_England" TargetMode="External"/><Relationship Id="rId54" Type="http://schemas.openxmlformats.org/officeDocument/2006/relationships/hyperlink" Target="https://en.wikipedia.org/wiki/Anthony_Ashley-Cooper,_2nd_Earl_of_Shaftesbury" TargetMode="External"/><Relationship Id="rId62" Type="http://schemas.openxmlformats.org/officeDocument/2006/relationships/hyperlink" Target="https://en.wikipedia.org/wiki/Scotland" TargetMode="External"/><Relationship Id="rId70" Type="http://schemas.openxmlformats.org/officeDocument/2006/relationships/hyperlink" Target="https://en.wikipedia.org/wiki/Thomas_Cooper,_1st_Baron_Cooper_of_Culross" TargetMode="External"/><Relationship Id="rId75" Type="http://schemas.openxmlformats.org/officeDocument/2006/relationships/hyperlink" Target="https://en.wikipedia.org/wiki/Scots_law" TargetMode="External"/><Relationship Id="rId83" Type="http://schemas.openxmlformats.org/officeDocument/2006/relationships/hyperlink" Target="https://en.wikipedia.org/wiki/Jackson_v_Attorney_General" TargetMode="External"/><Relationship Id="rId88" Type="http://schemas.openxmlformats.org/officeDocument/2006/relationships/hyperlink" Target="https://en.wikipedia.org/wiki/Factortame_litigation" TargetMode="External"/><Relationship Id="rId91" Type="http://schemas.openxmlformats.org/officeDocument/2006/relationships/hyperlink" Target="https://en.wikipedia.org/wiki/Injunction" TargetMode="External"/><Relationship Id="rId96" Type="http://schemas.openxmlformats.org/officeDocument/2006/relationships/hyperlink" Target="https://en.wikipedia.org/wiki/European_Union_(Withdrawal_Agreement)_Act_2020" TargetMode="External"/><Relationship Id="rId111" Type="http://schemas.openxmlformats.org/officeDocument/2006/relationships/hyperlink" Target="https://en.wikipedia.org/wiki/Parliamentary_sovereignty_in_the_United_Kingdom" TargetMode="External"/><Relationship Id="rId1" Type="http://schemas.openxmlformats.org/officeDocument/2006/relationships/numbering" Target="numbering.xml"/><Relationship Id="rId6" Type="http://schemas.openxmlformats.org/officeDocument/2006/relationships/hyperlink" Target="https://en.wikipedia.org/wiki/United_Kingdom" TargetMode="External"/><Relationship Id="rId15" Type="http://schemas.openxmlformats.org/officeDocument/2006/relationships/hyperlink" Target="https://en.wikipedia.org/wiki/European_Communities_Act_1972_(UK)" TargetMode="External"/><Relationship Id="rId23" Type="http://schemas.openxmlformats.org/officeDocument/2006/relationships/image" Target="media/image1.wmf"/><Relationship Id="rId28" Type="http://schemas.openxmlformats.org/officeDocument/2006/relationships/hyperlink" Target="https://en.wikipedia.org/wiki/Parliamentary_sovereignty_in_the_United_Kingdom" TargetMode="External"/><Relationship Id="rId36" Type="http://schemas.openxmlformats.org/officeDocument/2006/relationships/hyperlink" Target="https://en.wikipedia.org/wiki/Parliamentary_sovereignty_in_the_United_Kingdom" TargetMode="External"/><Relationship Id="rId49" Type="http://schemas.openxmlformats.org/officeDocument/2006/relationships/hyperlink" Target="https://en.wikipedia.org/wiki/Edward_I" TargetMode="External"/><Relationship Id="rId57" Type="http://schemas.openxmlformats.org/officeDocument/2006/relationships/hyperlink" Target="https://en.wikipedia.org/wiki/Act_of_Parliament_(UK)" TargetMode="External"/><Relationship Id="rId106" Type="http://schemas.openxmlformats.org/officeDocument/2006/relationships/hyperlink" Target="https://en.wikipedia.org/wiki/Parliamentary_sovereignty_in_the_United_Kingdom" TargetMode="External"/><Relationship Id="rId114" Type="http://schemas.openxmlformats.org/officeDocument/2006/relationships/hyperlink" Target="https://en.wikipedia.org/wiki/Parliamentary_sovereignty_in_the_United_Kingdom" TargetMode="External"/><Relationship Id="rId119" Type="http://schemas.openxmlformats.org/officeDocument/2006/relationships/hyperlink" Target="https://en.wikipedia.org/wiki/Parliamentary_sovereignty_in_the_United_Kingdom" TargetMode="External"/><Relationship Id="rId10" Type="http://schemas.openxmlformats.org/officeDocument/2006/relationships/hyperlink" Target="https://en.wikipedia.org/wiki/Written_constitution" TargetMode="External"/><Relationship Id="rId31" Type="http://schemas.openxmlformats.org/officeDocument/2006/relationships/hyperlink" Target="https://en.wikipedia.org/wiki/Parliamentary_sovereignty_in_the_United_Kingdom" TargetMode="External"/><Relationship Id="rId44" Type="http://schemas.openxmlformats.org/officeDocument/2006/relationships/hyperlink" Target="https://en.wikipedia.org/wiki/Case_of_Proclamations" TargetMode="External"/><Relationship Id="rId52" Type="http://schemas.openxmlformats.org/officeDocument/2006/relationships/hyperlink" Target="https://en.wikipedia.org/wiki/Declaration_of_Indulgence" TargetMode="External"/><Relationship Id="rId60" Type="http://schemas.openxmlformats.org/officeDocument/2006/relationships/hyperlink" Target="https://en.wikipedia.org/wiki/Regency_Acts" TargetMode="External"/><Relationship Id="rId65" Type="http://schemas.openxmlformats.org/officeDocument/2006/relationships/hyperlink" Target="https://en.wikipedia.org/wiki/House_of_Lords_Act_1999" TargetMode="External"/><Relationship Id="rId73" Type="http://schemas.openxmlformats.org/officeDocument/2006/relationships/hyperlink" Target="https://en.wikipedia.org/wiki/Church_of_Scotland" TargetMode="External"/><Relationship Id="rId78" Type="http://schemas.openxmlformats.org/officeDocument/2006/relationships/hyperlink" Target="https://en.wikipedia.org/wiki/Scottish_government" TargetMode="External"/><Relationship Id="rId81" Type="http://schemas.openxmlformats.org/officeDocument/2006/relationships/hyperlink" Target="https://en.wikipedia.org/wiki/Royal_assent" TargetMode="External"/><Relationship Id="rId86" Type="http://schemas.openxmlformats.org/officeDocument/2006/relationships/hyperlink" Target="https://en.wikipedia.org/wiki/European_Communities_Act_1972_(UK)" TargetMode="External"/><Relationship Id="rId94" Type="http://schemas.openxmlformats.org/officeDocument/2006/relationships/hyperlink" Target="https://en.wikipedia.org/wiki/European_Union_Act_2011" TargetMode="External"/><Relationship Id="rId99" Type="http://schemas.openxmlformats.org/officeDocument/2006/relationships/hyperlink" Target="https://en.wikipedia.org/wiki/Bill_of_Rights_1689" TargetMode="External"/><Relationship Id="rId101" Type="http://schemas.openxmlformats.org/officeDocument/2006/relationships/hyperlink" Target="https://en.wikipedia.org/wiki/Jackson_v_Attorney_General"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Parliament_of_the_United_Kingdom" TargetMode="External"/><Relationship Id="rId13" Type="http://schemas.openxmlformats.org/officeDocument/2006/relationships/hyperlink" Target="https://en.wikipedia.org/wiki/Sir_William_Wade" TargetMode="External"/><Relationship Id="rId18" Type="http://schemas.openxmlformats.org/officeDocument/2006/relationships/hyperlink" Target="https://en.wikipedia.org/wiki/National_sovereignty" TargetMode="External"/><Relationship Id="rId39" Type="http://schemas.openxmlformats.org/officeDocument/2006/relationships/hyperlink" Target="https://en.wikipedia.org/wiki/Death_penalty" TargetMode="External"/><Relationship Id="rId109" Type="http://schemas.openxmlformats.org/officeDocument/2006/relationships/hyperlink" Target="https://en.wikipedia.org/wiki/Parliamentary_sovereignty_in_the_United_Kingdom" TargetMode="External"/><Relationship Id="rId34" Type="http://schemas.openxmlformats.org/officeDocument/2006/relationships/hyperlink" Target="https://en.wikipedia.org/wiki/Parliamentary_sovereignty_in_the_United_Kingdom" TargetMode="External"/><Relationship Id="rId50" Type="http://schemas.openxmlformats.org/officeDocument/2006/relationships/hyperlink" Target="https://en.wikipedia.org/wiki/Indirect_taxation" TargetMode="External"/><Relationship Id="rId55" Type="http://schemas.openxmlformats.org/officeDocument/2006/relationships/hyperlink" Target="https://en.wikipedia.org/wiki/Act_of_Settlement_1701" TargetMode="External"/><Relationship Id="rId76" Type="http://schemas.openxmlformats.org/officeDocument/2006/relationships/hyperlink" Target="https://en.wikipedia.org/wiki/Scottish_Parliament" TargetMode="External"/><Relationship Id="rId97" Type="http://schemas.openxmlformats.org/officeDocument/2006/relationships/hyperlink" Target="https://en.wikipedia.org/wiki/Human_Rights_Act_1998" TargetMode="External"/><Relationship Id="rId104" Type="http://schemas.openxmlformats.org/officeDocument/2006/relationships/hyperlink" Target="https://en.wikipedia.org/wiki/Separation_of_powers_in_the_United_Kingdom" TargetMode="External"/><Relationship Id="rId120" Type="http://schemas.openxmlformats.org/officeDocument/2006/relationships/hyperlink" Target="https://en.wikipedia.org/wiki/Parliamentary_sovereignty_in_the_United_Kingdom" TargetMode="External"/><Relationship Id="rId7" Type="http://schemas.openxmlformats.org/officeDocument/2006/relationships/hyperlink" Target="https://en.wikipedia.org/wiki/Constitution_of_the_United_Kingdom" TargetMode="External"/><Relationship Id="rId71" Type="http://schemas.openxmlformats.org/officeDocument/2006/relationships/hyperlink" Target="https://en.wikipedia.org/wiki/Henry_Keith,_Baron_Keith_of_Kinkel" TargetMode="External"/><Relationship Id="rId92" Type="http://schemas.openxmlformats.org/officeDocument/2006/relationships/hyperlink" Target="https://en.wikipedia.org/wiki/Sir_William_Wade" TargetMode="External"/><Relationship Id="rId2" Type="http://schemas.openxmlformats.org/officeDocument/2006/relationships/styles" Target="styles.xml"/><Relationship Id="rId29" Type="http://schemas.openxmlformats.org/officeDocument/2006/relationships/hyperlink" Target="https://en.wikipedia.org/wiki/Parliamentary_sovereignty_in_the_United_Kingdom" TargetMode="External"/><Relationship Id="rId24" Type="http://schemas.openxmlformats.org/officeDocument/2006/relationships/control" Target="activeX/activeX1.xml"/><Relationship Id="rId40" Type="http://schemas.openxmlformats.org/officeDocument/2006/relationships/hyperlink" Target="https://en.wikipedia.org/wiki/Mary_I_of_England" TargetMode="External"/><Relationship Id="rId45" Type="http://schemas.openxmlformats.org/officeDocument/2006/relationships/hyperlink" Target="https://en.wikipedia.org/wiki/English_Civil_War" TargetMode="External"/><Relationship Id="rId66" Type="http://schemas.openxmlformats.org/officeDocument/2006/relationships/hyperlink" Target="https://en.wikipedia.org/wiki/House_of_Lords_Act_1999" TargetMode="External"/><Relationship Id="rId87" Type="http://schemas.openxmlformats.org/officeDocument/2006/relationships/hyperlink" Target="https://en.wikipedia.org/wiki/European_Union_law" TargetMode="External"/><Relationship Id="rId110" Type="http://schemas.openxmlformats.org/officeDocument/2006/relationships/hyperlink" Target="https://en.wikipedia.org/wiki/Parliamentary_sovereignty_in_the_United_Kingdom" TargetMode="External"/><Relationship Id="rId115" Type="http://schemas.openxmlformats.org/officeDocument/2006/relationships/hyperlink" Target="https://en.wikipedia.org/wiki/Parliamentary_sovereignty_in_the_United_Kingd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2020-04-21T17:38:00Z</dcterms:created>
  <dcterms:modified xsi:type="dcterms:W3CDTF">2020-04-21T17:38:00Z</dcterms:modified>
</cp:coreProperties>
</file>